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PRISÃO PREVENTIVA</w:t>
      </w:r>
    </w:p>
    <w:p>
      <w:r>
        <w:rPr>
          <w:i/>
          <w:iCs/>
          <w:color w:val="666666"/>
        </w:rPr>
        <w:t xml:space="preserve">RÉU PRIMÁRIO E DE BONS ANTECEDENTES</w:t>
      </w:r>
    </w:p>
    <w:p/>
    <w:p>
      <w:r>
        <w:rPr>
          <w:b/>
          <w:bCs/>
        </w:rPr>
        <w:t xml:space="preserve">Recurso: </w:t>
      </w:r>
      <w:r>
        <w:t xml:space="preserve">Habeas Corpus -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RÉU PRESO NO CURSO DO PROCESSO — SE DEVE SER SOLTO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Desde que preso provisoriamente, embora primário e de bons antecedentes, não pode o réu apelar em liberdade segundo precedentes do E. STF (RHC nº 54.430, DJ de 26-11-1976 - RHC nº 52.413, RTJ nº 70, págs. 689 e HC nº 52.288, RTJ nº 70, pág. 673, este decidido pelo Plenário). - Na mesma esteira apreciei o HC nº 6.496 - RJ (Registro nº 7.860.889), cujo acórdão está assim ementado: "Habeas Corpus - Apelação em liberdade. A norma do art. 594, do CPP, com a alteração dada pela Lei nº 5.941/73, tem alcance limitado, não beneficiando aquele que, por ocasião da sentença condenatória, já se encontre preso em flagrante ou preventivamente. Precedentes do e. STF. Ordem denegada". - Com estas considerações, denego a Ordem. Ac. de 13-11-1987 Revista do Tribunal Federal de Recursos - Janeiro de 1988 - Vol. 153 - Pág. 305 EMFOR 505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norma do art. 594, do CPP, com a alteração dada pela Lei nº 5.941/73, tem alcance limitado não beneficiando aquele que, por ocasião da sentença condenatória, já se encontre preso em flagrante ou preventivamente.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2026-10-26T03:52:20.389Z</dcterms:created>
  <dcterms:modified xsi:type="dcterms:W3CDTF">2026-10-26T03:52:20.389Z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