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CRIMINAL</w:t>
      </w:r>
    </w:p>
    <w:p>
      <w:pPr>
        <w:pStyle w:val="Title"/>
      </w:pPr>
      <w:r>
        <w:rPr>
          <w:b/>
          <w:bCs/>
        </w:rPr>
        <w:t xml:space="preserve">PRISÃO PREVENTIVA</w:t>
      </w:r>
    </w:p>
    <w:p>
      <w:r>
        <w:rPr>
          <w:i/>
          <w:iCs/>
          <w:color w:val="666666"/>
        </w:rPr>
        <w:t xml:space="preserve">RÉU PRIMÁRIO E DE BONS ANTECEDENTES</w:t>
      </w:r>
    </w:p>
    <w:p/>
    <w:p>
      <w:r>
        <w:rPr>
          <w:b/>
          <w:bCs/>
        </w:rPr>
        <w:t xml:space="preserve">Recurso: </w:t>
      </w:r>
      <w:r>
        <w:t xml:space="preserve">apelação .</w:t>
      </w:r>
    </w:p>
    <w:p/>
    <w:p>
      <w:r>
        <w:t xml:space="preserve">DISPENSA — RÉU PRIMÁRIO E DE BONS ANTECEDENTES - DIREITO RECONHECIDO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O recolhimento do réu à prisão, segundo o enunciado do art. 594 do Código de Processo Penal, é condição da apelação. A mesma norma, entretanto, cuida de explicitar as exceções à regra, arrolando, entre elas, a primariedade e os bons antecedentes reconhecidos na sentença condenatória. - O que consta destes autos inscreve-se no domínio da ressalva. A sentença que condenou o paciente reconheceu aqueles pressupostos. Ademais, milita em favor daquele, o fato de ter comparecido, enquanto livre, a todos os atos do processo em que reclamada a sua presença. Semelhante conduta desabona a idéia de periculosidade ou outro desvio de comportamento moral que se tenha pretendido imputar ao réu como justificativa de seu recolhimento e permanência na prisão. - Resta saber se a norma estampa uma faculdade judicial, ou um direito subjetivo do réu. A tal propósito, esta Corte vem se pronunciando, conforme demonstrou a Procuradoria-Geral da República, no sentido de que se trata de direito do acusado, devendo o Juiz, quando satisfeitas as condições legais, conceder-lhe o benefício. Desse modo, provejo o recurso para que o paciente seja posto em liberdade e assim aguarde o desfecho da apelação. Ac. de 13-11-1987 Revista Trimestral de Jurisprudência - Vol. 124 - Maio de 1988 - Pág. 595. EMFOR 491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Reconhecidos, na sentença condenatória, a primariedade e os bons antecedentes, não há como negar ao réu o direito de apelar em liberdade.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Revista Trimestral de Jurisprudência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2026-07-28T02:17:56.756Z</dcterms:created>
  <dcterms:modified xsi:type="dcterms:W3CDTF">2026-07-28T02:17:56.756Z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