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RE 94.284</w:t>
      </w:r>
    </w:p>
    <w:p/>
    <w:p>
      <w:r>
        <w:t xml:space="preserve">RECONHECIMENTO DE CIRCUNSTÂNCIA  ATENUANTE — QUANDO PODE FAZÊ-LO O  TRIBUNAL A PEDIDO DA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erro que o Tribunal pode corrigir no julgamento desta apelação, sem submeter o réu a novo Júri. No exame de situação análoga, o Supremo Tribunal assentou que: "Não é nulo o acórdão do Tribunal "ad quem" que, em provendo a apelação da defesa, retificou a pena imposta pelo Tribunal do Júri, desclassificando o crime de homicídio qualificado para homicídio simples, pois essa decisão encontra respaldo no item III, letra c, do art. 593 do Código de Processo Penal, combinado com o parágrafo 2º do mesmo artigo e, bem assim, na circunstância de descaber, nessa hipótese, recurso pedindo novo julgamento pelo Tribunal Popular" (RE 94.284 RS, relator o Ministro SOARES MUNHOZ, in RTJ 103/696). Ac. de 28-09-1989 Arquivo do EMFOR - TJ/2.208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Tribunal "ad quem", no julgamento de recurso da defesa, fundado no art. 593, inc. III, letra "c", do Cód. de Proc. Penal, reduzir a sanção imposta ao réu, mesmo que para isso haja de reconhecer circunstância atenuante rejeitada pelo corpo de jurados.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2026-07-28T00:00:14.168Z</dcterms:created>
  <dcterms:modified xsi:type="dcterms:W3CDTF">2026-07-28T00:00:14.168Z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