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Recurso: </w:t>
      </w:r>
      <w:r>
        <w:t xml:space="preserve">RE 94.284</w:t>
      </w:r>
    </w:p>
    <w:p/>
    <w:p>
      <w:r>
        <w:t xml:space="preserve">RECONHECIMENTO DE CIRCUNSTÂNCIA  ATENUANTE — QUANDO PODE FAZÊ-LO O  TRIBUNAL A PEDIDO DA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erro que o Tribunal pode corrigir no julgamento desta apelação, sem submeter o réu a novo Júri. No exame de situação análoga, o Supremo Tribunal assentou que: "Não é nulo o acórdão do Tribunal "ad quem" que, em provendo a apelação da defesa, retificou a pena imposta pelo Tribunal do Júri, desclassificando o crime de homicídio qualificado para homicídio simples, pois essa decisão encontra respaldo no item III, letra c, do art. 593 do Código de Processo Penal, combinado com o parágrafo 2º do mesmo artigo e, bem assim, na circunstância de descaber, nessa hipótese, recurso pedindo novo julgamento pelo Tribunal Popular" (RE 94.284 RS, relator o Ministro SOARES MUNHOZ, in RTJ 103/696). Ac. de 28-09-1989 Arquivo do EMFOR - TJ/2.208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Tribunal "ad quem", no julgamento de recurso da defesa, fundado no art. 593, inc. III, letra "c", do Cód. de Proc. Penal, reduzir a sanção imposta ao réu, mesmo que para isso haja de reconhecer circunstância atenuante rejeitada pelo corpo de jurados.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2026-10-26T05:00:34.134Z</dcterms:created>
  <dcterms:modified xsi:type="dcterms:W3CDTF">2026-10-26T05:00:34.134Z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