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Julgado em: </w:t>
      </w:r>
      <w:r>
        <w:t xml:space="preserve">29/04/1985</w:t>
      </w:r>
    </w:p>
    <w:p/>
    <w:p>
      <w:r>
        <w:t xml:space="preserve">ARGUMENTO DE PODER ESTA INTERESSAR À FAZENDA PÚBLICA — SE JUSTIFICA A MANUTENÇÃO DA APREENSÃO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objetos cuja apreensão estejam relacionados com o processo penal em tramitação permanecem à disposição do Juiz a quem estiver afeto, a fim de que tenha condições de determinar, se necessário, a reparação do dano ou confisco nos expressos termos das disposições previstas nos artigos 74 e 100 do nosso Estatuto Penal. - Da mesma forma, estando à sua disposição poderá restituí-los, quando não mais interessarem ao processo de acordo com os precisos termos dispostos no artigo 118 do CPP. - Em suma compete ao Juiz da causa decidir sobre o destino a ser dado às coisas apreendidas. - O exame dos elementos carreados para os autos indicam que não havia interesse na coisa apreendida para o procedimento criminal, circunstância que, expressamente, foi reconhecida pelo ilustre fiscal da lei em suas razões de apelo, quando diz: &lt;&lt;Com efeito, tal interesse não existe em relação ao feito criminal, mas está o veículo sujeito à pena de perdimento, em procedimento administrativo-fiscal de interesse da Fazenda Nacional&gt;&gt;. - No que concerne ao falado interesse da Fazenda Pública, nenhuma prova existe nos autos, pois não há qualquer peça comprovando a existência de processo administrativo com vista ao perdimento do veículo. - Se tal interesse ocorre, cabe à autoridade administrativa competente providenciar as medidas que se fazem necessárias à proteção dos me smos e a competência desta defesa não poderá ser transferida ao Julgador criminal, razão que o impede de manter a apreensão com esta finalidade, sob pena de ser seu ato considerado abusivo e de constituir-se numa verdadeira intromissão em área alheia a sua competência. - Por fim, cumpre ressaltar que o ato liberatório do Juiz não impede de maneira alguma que venham ser tomadas, se porventura cabíveis, providências administrativas fiscais para imposição da eventual sanção concernente. - Com estas considerações, estando o i. Julgador com seu ato perfeitamente amparado nas normas legais referentes, não há como alterá-la satisfazendo-se a pretensão do ora apelante. Julgado em 30-04-1985 Revista do Tribunal Federal de Recursos - Vol. 133 - Pág. 267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objetos, cuja apreensão esteja relacionada com o processo penal em tramitação, permanecem a disposição do Juiz da causa, a quem compete decidir sobre a destinação a ser dada aos mesmos. - A manutenção da apreensão no Juízo penal ao argumento de que o objeto poderá interessar a Fazenda Pública, constitui, além de evidente abuso, verdadeira intromissão em área alheia à sua competência, mormente quando nenhuma prova há nos autos sobre a existência de procedimento administrativo com vistas à pena de natureza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2026-10-26T03:54:03.193Z</dcterms:created>
  <dcterms:modified xsi:type="dcterms:W3CDTF">2026-10-26T03:54:03.193Z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