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/>
    <w:p>
      <w:r>
        <w:t xml:space="preserve">PAGAMENTO OU ENTREGA DO BEM APROPRIADO ANTERIOR À DENÚNCIA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referência ao delito de apropriação indébita, não se pode desconsiderar respeitável corrente jurisprudencial no sentido de que o pagamento ou a entrega do bem apropriado antes do recebimento da denúncia elide o dolo desse delito. Decidiu-se, a propósito, que, "Segundo corrente jurisprudencial, o ressarcimento do dano, a devolução da coisa ou a composição entre indiciado e vítima, antes do processo penal, exclui o dolo, passando a inexistir justa causa para o aforamento de ação penal. O suposto ilícito penal transmuda-se em obrigação civil, perante transação havida entre as partes antes da denúncia". (JUTACRIM, 86/60). Ou, "o pagamento ou a restituição da coisa apropriada antes do recebimento da denúncia não caracteriza o delito" (STF-RE-Rel. SYDNEY SANCHES, RT 598/442-443, "in" "Código Penal e sua Interpretação Jurisprudencial", de ALBERTO SILVA FRANCO e outros, pág. 1.129). - Em face do exposto, negam provimento ao apelo. Ac. de 25-08-1994 Revista dos Tribunais - Novembro de 1994 - Vol. 709 - Pág. 312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ou entrega do bem apropriado antes do recebimento da denúncia, elide o dolo do delito de apropriação indébita.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2026-07-28T02:53:05.473Z</dcterms:created>
  <dcterms:modified xsi:type="dcterms:W3CDTF">2026-07-28T02:53:05.473Z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