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16/12/1984</w:t>
      </w:r>
    </w:p>
    <w:p/>
    <w:p>
      <w:r>
        <w:t xml:space="preserve">PARTICULAR PREJUDICADO PELO DELITO — LEGITIMIDADE DE SUA INTERVENÇÃO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268 do CPP, que permite a intervenção no processo do ofendido, na condição de assistente do Ministério Público, diz respeito ao ofendido como pessoa física. Este é a pessoa que suporta diretamente o dano ou prejuízo material ou moral consequente da infração. Mesmo nos crimes contra a Administração Pública ou a fé pública, isto será possível, em sendo sujeito passivo qualquer entidade de direito público se houver indivíduo determinado que sofra direta ou indiretamente os prejuízos decorrentes da ofensa à lei. - V. acórdão unânime da E. 1ª Câmara do augusto TACrimSP decidiu: "nas infrações contra a Administração, em havendo sujeito passivo particular do delito tem o mesmo legitimidade para intervir na ação penal e para recorrer" (Rec. crim. de Santa Adélia, 49.181, relator Juiz AZEVEDO FRANCESCHINI, "in" sia "Jurisprudência Penal e Processual Penal", EID, 1980, vol. 1º/353). - "A contrário sensu", não havendo pessoa física a suportar o dano recorrente do crime, à Administração Pública afetada descabe habilitar-se como tal, simplesmente porque por ela e em seu nome atua, como "dominus litis", o órgão do Ministério Público. - O despacho incriminado, pois, está a par com a lei, o direito e a jurisprudência não tendo ferido direito líquido e certo da impetrante, a justificar a concessão da segurança. ... . Julgado em 17-12-1984 Revista dos Tribunais. Abril, 1985 - Vol. 594 - Pág. 326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268 do Código de Processo Penal. - Constitui superfetação, nos crimes contra a Administração Pública, em que o Ministério Público já atua em nome do Poder Público ofendido, pretender este se habilitar como assistente de acusação.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2026-10-26T04:34:28.211Z</dcterms:created>
  <dcterms:modified xsi:type="dcterms:W3CDTF">2026-10-26T04:34:28.211Z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