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16/12/1984</w:t>
      </w:r>
    </w:p>
    <w:p/>
    <w:p>
      <w:r>
        <w:t xml:space="preserve">PARTICULAR PREJUDICADO PELO DELITO — LEGITIMIDADE DE SUA INTERVENÇÃO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268 do CPP, que permite a intervenção no processo do ofendido, na condição de assistente do Ministério Público, diz respeito ao ofendido como pessoa física. Este é a pessoa que suporta diretamente o dano ou prejuízo material ou moral consequente da infração. Mesmo nos crimes contra a Administração Pública ou a fé pública, isto será possível, em sendo sujeito passivo qualquer entidade de direito público se houver indivíduo determinado que sofra direta ou indiretamente os prejuízos decorrentes da ofensa à lei. - V. acórdão unânime da E. 1ª Câmara do augusto TACrimSP decidiu: "nas infrações contra a Administração, em havendo sujeito passivo particular do delito tem o mesmo legitimidade para intervir na ação penal e para recorrer" (Rec. crim. de Santa Adélia, 49.181, relator Juiz AZEVEDO FRANCESCHINI, "in" sia "Jurisprudência Penal e Processual Penal", EID, 1980, vol. 1º/353). - "A contrário sensu", não havendo pessoa física a suportar o dano recorrente do crime, à Administração Pública afetada descabe habilitar-se como tal, simplesmente porque por ela e em seu nome atua, como "dominus litis", o órgão do Ministério Público. - O despacho incriminado, pois, está a par com a lei, o direito e a jurisprudência não tendo ferido direito líquido e certo da impetrante, a justificar a concessão da segurança. ... . Julgado em 17-12-1984 Revista dos Tribunais. Abril, 1985 - Vol. 594 - Pág. 326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268 do Código de Processo Penal. - Constitui superfetação, nos crimes contra a Administração Pública, em que o Ministério Público já atua em nome do Poder Público ofendido, pretender este se habilitar como assistente de acusação.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2026-07-27T22:50:31.963Z</dcterms:created>
  <dcterms:modified xsi:type="dcterms:W3CDTF">2026-07-27T22:50:31.963Z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