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DE PROCESSO PENAL</w:t>
      </w:r>
    </w:p>
    <w:p>
      <w:r>
        <w:rPr>
          <w:i/>
          <w:iCs/>
          <w:color w:val="666666"/>
        </w:rPr>
        <w:t xml:space="preserve">DECRETO-LEI 3.689 DE 03-10-1941</w:t>
      </w:r>
    </w:p>
    <w:p/>
    <w:p/>
    <w:p>
      <w:r>
        <w:t xml:space="preserve">ANUÊNCIA E ESTÍMULO MORAL — QUANDO  CONFIGURA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... o que se percebe é que todos os acusados efetivamente estavam envolvidos no delito, mesmo que apenas um tenha sido o seu autor material, os demais anuíram com a investida, tanto que entre eles foi repartido o produto do furto e nestes casos assim têm se manifestado os tribunais. "Embora não pratique ato material de violência ou de subtração, considera-se co-autor quem previamente adere à idéia do roubo e dele, afinal, tira proveito". (JUTACrim. 95/227, in Código Penal e sua Interpretação Jurisprudencial, 2ª Tiragem, RT, 1987, pág. 102). Ac. de 27-05-1991 Jurisprudência Catarinense - 1º e 2º Trimestre de 1991 - Nº 68 - Pág. 389 EMFOR 539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Há co-autoria quando um dos meliantes anuncia aos demais o seu propósito de praticar o furto, recebendo destes anuência e estímulo moral, tanto que após a subtração foi a res entre todas distribuída.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2026-07-28T00:13:30.779Z</dcterms:created>
  <dcterms:modified xsi:type="dcterms:W3CDTF">2026-07-28T00:13:30.779Z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