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/>
    <w:p>
      <w:r>
        <w:t xml:space="preserve">DECRETO-LEI 3.689/41 — ARTS. 366, 367. 368. 369 E 370 -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9.271, DE 17 DE ABRIL DE 1996 Altera os arts. 366, 367, 368, 369 e 370 do Decreto-lei nº 3.689, de 3 de outubro de 1941 - Código de Processo Penal. O PRESIDENTE DA REPÚBLICA, Faço saber que o Congresso Nacional decreta e eu sanciono a seguinte Lei: Art. 1º Os arts. 366, 367, 368, 369 e 370 do Decreto-lei nº 3.689, de 3 de outubro de 1941 - Código de Processo Penal, passam a vigorar com a seguinte redação: "Art. 366. Se o acusado, citado por edital, não comparecer, nem constituir advogado, ficarão suspensos o processo e o curso do prazo prescricional, podendo o juiz determinar a produção antecipada das provas consideradas urgentes e, se for o caso, decretar prisão preventiva nos termos do disposto no art. 312. § 1º As provas antecipadas serão produzidas na presença do Ministério Público e do defensor dativo. § 2º Comparecendo o acusado, ter-se-á por citado pessoalmente, prosseguindo o processo em seus ulteriores atos. Art. 367. O processo seguirá sem a presença do acusado que, citado ou entimado pessoalmente para qualquer ato, deixar de comparecer sem motivo justificado, ou, no caso de mudança de residência, não comunicar o novo endereço ao juízo. Art. 368. Estando o acusado no estrangeiro, em lugar sabido, será citado mediante carta rogatória, suspendendo-se o curso do prazo de prescrição até o seu cumprimento. Art. 369. As citações que houverem de ser feitas em legações estrangeiras serão efetuadas mediante carta rogatória. Art. 370. Nas intimações dos acusados, das testemunhas e demais pessoas que devam tomar conhecimento de qualquer ato, será observado, no que for aplicável, o disposto no Capítulo anterior. § 1º A intimação do defensor constituído, do advogado do querelante e do assistente far-se-á por publicação no órgão incumbido da publicidade dos atos judiciais da comarca, incluindo, sob pena de nulidade, o nome do acusado. § 2º Caso não ha ja órgão de publicação dos atos judiciais na comarca, a intimação far-se-á diretamente pelo escrivão, por mandado, ou via postal com comprovante de recebimento, ou por qualquer outro meio idôneo. § 3º A intimação pessoal, feita pelo escrivão, dispensará a aplicação a que alude o § 1º. § 4º A intimação do Ministério Público e do defensor nomeado será pessoal." Art. 2º Esta Lei entra em vigor sessenta dias após a data de sua publicação. Brasília, 17 de abril de 1996; 175º da Independência e 108º da República. FERNANDO HENRIQUE CARDOSO Nelson A. Jobim VER: LEI - 10.409 - DO 14-01-2002 - PÁG. 001 - MENCIONA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2026-07-27T23:34:29.695Z</dcterms:created>
  <dcterms:modified xsi:type="dcterms:W3CDTF">2026-07-27T23:34:29.695Z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