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LEI 9.033 DE 02-05-1995</w:t>
      </w:r>
    </w:p>
    <w:p/>
    <w:p/>
    <w:p>
      <w:r>
        <w:t xml:space="preserve">ART. 184 — DÁ NOVA REDAÇÃO</w:t>
      </w:r>
    </w:p>
    <w:p/>
    <w:p>
      <w:pPr>
        <w:pStyle w:val="Heading2"/>
      </w:pPr>
      <w:r>
        <w:rPr>
          <w:b/>
          <w:bCs/>
        </w:rPr>
        <w:t xml:space="preserve">Ementa</w:t>
      </w:r>
    </w:p>
    <w:p>
      <w:r>
        <w:t xml:space="preserve">LEI Nº 8.635, DE 16 DE MARÇO DE 1993 Dá nova redação ao art. 184 do Código Penal. O PRESIDENTE DA REPÚBLICA Faço saber que o Congresso Nacional decreta e eu sanciono a seguinte Lei: Art. 1º O art. 184 do Decreto-Lei nº 2.848, de 7 de dezembro de 1940 - Código Penal, passa a vigorar com as seguintes alterações: "Art. 184.............................................................. § 1º Se a violação consistir em reprodução, por qualquer meio, com intuito de lucro, de obra intelectual, no todo ou em parte, sem autorização expressa do autor ou de quem o represente, ou consistir na reprodução de fonograma ou videofonograma, sem a autorização do produtor ou de quem o represente: Pena - reclusão, de um a quatro anos, e multa, de Cr$ 10.000,00 (dez mil cruzeiros) a Cr$ 50.000,00 (cinqüenta mil cruzeiros). § 2º Na mesma pena do parágrafo anterior incorre quem vende, expõe à venda, aluga, introduz no País, adquire, oculta, empresta, troca ou tem em depósito, com intuito de lucro, original ou cópia de obra intelectual, fonograma ou videofonograma, produzidos ou reproduzidos com violação de direito autoral. § 3º Em caso de condenação, ao prolatar a sentença, o juiz determinará a destruição da produção ou reprodução criminosa." Art. 2º Esta lei entra em vigor na data de sua publicação. Art. 3º Revogam-se as disposições em contrário. Brasília, 16 de março de 1993, 172º da Independência e 105º da República. ITAMAR FRANCO Maurício Corrêa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2026-07-28T02:25:10.402Z</dcterms:created>
  <dcterms:modified xsi:type="dcterms:W3CDTF">2026-07-28T02:25:10.402Z</dcterms:modified>
</cp:coreProperties>
</file>

<file path=docProps/custom.xml><?xml version="1.0" encoding="utf-8"?>
<Properties xmlns="http://schemas.openxmlformats.org/officeDocument/2006/custom-properties" xmlns:vt="http://schemas.openxmlformats.org/officeDocument/2006/docPropsVTypes"/>
</file>