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LEI 9.033 DE 02-05-1995</w:t>
      </w:r>
    </w:p>
    <w:p/>
    <w:p/>
    <w:p>
      <w:r>
        <w:t xml:space="preserve">DECRETO-LEI 2.848/40 — ART. 332 -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9.127, DE 16 DE NOVEMBRO DE 1995 Altera a redação do art. 332 do Decreto-Lei nº 2.848, de 7 de dezembro de 1940 - Código Penal. O PRESIDENTE DA REPÚBLICA Faço saber que o Congresso Nacional decreta e eu sanciono a seguinte Lei: Art. 1º O art. 332 do Decreto-Lei nº 2.848, de 7 de dezembro de 1940, passa a vigorar com a seguinte redação: "Tráfico de influência Art. 332. Solicitar, exigir, cobrar ou obter, para si ou para outrem, vantagem ou promessa de vantagem, a pretexto de influir em ato praticado por funcionário público no exercício da função. Pena - Reclusão, de dois a cinco anos, e multa. Parágrafo único. A pena é aumentada da metade, se o agente alega ou insinua que a vantagem é também destinada ao funcionário." Art. 2º Esta Lei entra em vigor na data de sua publicação. Art. 3º Revogam-se as disposições em contrário. Brasília, 16 de novembro de 1995; 174º da Independência e 107º da República. FERNANDO HENRIQUE CARDOSO Nelson A.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2026-10-26T05:54:57.243Z</dcterms:created>
  <dcterms:modified xsi:type="dcterms:W3CDTF">2026-10-26T05:54:57.243Z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