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</w:t>
      </w:r>
    </w:p>
    <w:p>
      <w:r>
        <w:rPr>
          <w:i/>
          <w:iCs/>
          <w:color w:val="666666"/>
        </w:rPr>
        <w:t xml:space="preserve">DECRETO-LEI 2.848 DE 07-12-1940</w:t>
      </w:r>
    </w:p>
    <w:p/>
    <w:p/>
    <w:p>
      <w:r>
        <w:t xml:space="preserve">01.01 PARTE GERAL — LIVRO ÚNICO
      TÍTULO I - Da Aplicação da Lei Penal Militar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1.001, DE 21 DE OUTUBRO DE 1969 Parte GERAL - Artigos 1º a 135. Livro ÚNICO - Artigos 1º a 135. Título I - Da Aplicação da Lei Penal Militar - Artigos 1º a 28. Art. 1º Não há crime sem lei anterior que o defina, nem pena sem prévia cominação legal. Art. 2º Ninguém pode ser punido por fato que lei posterior deixa de considerar crime, cessando, em virtude dela, a própria vigência de sentença condenatória irrecorrível, salvo quanto aos efeitos de natureza civil. § 1º A lei posterior que, de qualquer outro modo, favorece o agente, aplica-se retroativamente, ainda quando já tenha sobrevindo sentença condenatória irrecorrível. § 2º Para se reconhecer qual a mais favorável, a lei posterior e a anterior devem ser consideradas separadamente, cada qual no conjunto de suas normas aplicáveis ao fato. Art. 3º As medidas de segurança regem-se pela lei vigente ao tempo da sentença, prevalecendo, entretanto, se diversa, a lei vigente ao tempo da execução. Art. 4º A lei excepcional ou temporária, embora decorrido o período de sua duração ou cessadas as circunstâncias que a determinaram, aplica-se ao fato praticado durante sua vigência. Art. 5º Considera-se praticado o crime no momento da ação ou omissão, ainda que outro seja o do resultado. Art. 6º Considera-se praticado o fato, no lugar em que se desenvolveu a atividade criminosa, no todo ou em parte, e ainda que sob forma de participação, bem como onde se produziu ou deveria produzir-se o resultado. Nos crimes omissivos, o fato considera-se praticado no lugar em que deveria realizar-se a ação omitida. Art. 7º Aplica-se a lei penal militar, sem prejuízo de convenções, tratados e regras de direito internacional, ao crime cometido, no todo ou em parte, no território nacional, ou fora dele, ainda que, neste caso, o agente esteja sendo processado ou tenha sido julgado pela justiça estrangeira. § 1º Para os efeitos da lei penal militar consideram-se como extensão do território nacional as aeronaves e os navios brasileiros, onde quer que se encontrem, sob comando militar ou militarmente utilizados ou ocupados por ordem legal de autoridade competente, ainda que de propriedade privada. § 2º É também aplicável a lei penal militar ao crime praticado a bordo de aeronaves ou navios estrangeiros, desde que em lugar sujeito à administração militar, e o crime atente contra as instituições militares. § 3º Para efeito da aplicação deste Código, considera-se navio toda embarcação sob comando militar. Art. 8º A pena cumprida no estrangeiro atenua a pena imposta no Brasil pelo mesmo crime, quando diversas, ou nela é computada, quando idênticas. Art. 9º Consideram-se crimes militares, em tempo de paz: I - os crimes de que trata este Código, quando definidos de modo diverso na lei penal comum, ou nela não previstos, qualquer que seja o agente, salvo disposição especial; II - os crimes previstos neste Código, embora também o sejam com igual definição na lei penal comum, quando praticados; a) por militar em situação de atividade ou assemelhado, contra militar na mesma situação ou assemelhado; b) por militar em situação de atividade ou assemelhado, em lugar sujeito à administração militar, contra militar da reserva, ou reformado, ou assemelhado, ou civil; c) por militar em serviço ou atuando em razão da função, em comissão de natureza militar, ou em formatura, ainda que fora do lugar sujeito a administração militar, contra militar da reserva, ou reformado, ou civil; (Alínea "c" com redação dada pela Lei nº 9.299/96) d) por militar durante o período de manobras, ou exercício, contra militar da reserva, ou reformado, ou assemelhado, ou civil; e) Por militar em situação de atividade, ou assemelhado, contra o patrimônio sob a administração militar, ou a ordem administrativa militar; f) por militar em situação de atividade ou a ssemelhado que, embora não estando em serviço, use armamento de propriedade militar ou qualquer material bélico, sob guarda, fiscalização ou administração militar, para a prática de ato ilegal; (Alínea "f" revogada pela Lei nº 9.299/96) III - os crimes, praticados por militar da reserva ou reformado, ou por civil, contra as instituições militares, considerando-se como tais não só os compreendidos no inciso I, como os do inciso II, nos seguintes casos; a) contra o patrimônio sob a administração militar, ou contra a ordem administrativa militar; b) em lugar sujeito a administração militar contra militar em situação de atividade ou assemelhado, ou contra funcionário de Ministé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2026-10-26T04:33:50.051Z</dcterms:created>
  <dcterms:modified xsi:type="dcterms:W3CDTF">2026-10-26T04:33:50.051Z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