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Recurso: </w:t>
      </w:r>
      <w:r>
        <w:t xml:space="preserve">Ap. 18.822</w:t>
      </w:r>
    </w:p>
    <w:p>
      <w:r>
        <w:rPr>
          <w:b/>
          <w:bCs/>
        </w:rPr>
        <w:t xml:space="preserve">Tribunal: </w:t>
      </w:r>
      <w:r>
        <w:t xml:space="preserve">TJMG</w:t>
      </w:r>
    </w:p>
    <w:p>
      <w:r>
        <w:rPr>
          <w:b/>
          <w:bCs/>
        </w:rPr>
        <w:t xml:space="preserve">Relator: </w:t>
      </w:r>
      <w:r>
        <w:t xml:space="preserve">JOÃO RICARDO VINHAS</w:t>
      </w:r>
    </w:p>
    <w:p/>
    <w:p>
      <w:r>
        <w:t xml:space="preserve">PEQUENA QUANTIDADE DE MACONHA EM PODER DO USUÁRIO — TIPICIDADE CONFIGURADA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Apesar disso, no Tribunal bem como outros Tribunais de Justiça têm decidido no sentido de não considerar fato atípico a quantidade ínfima de "maconha" apreendida em poder do usuário. Senão, vejamos: "Posse de entorpecente - apreensão com o acusado de pequena quantidade de maconha para uso pessoal - delito não descaracterizado" (TJMG - Ap. nº 18.822 - Relator Desembargador FREITAS BARBOSA). - O Supremo Tribunal Federal também tem decidido sobre a matéria: "Crime de bagatela - a orientação do STF, a tal respeito, é a de que a circunstância de ser mínima a quantidade de maconha apreendida em poder do réu não prejudica a configuração da tipicidade do crime previsto no artigo 16 da Lei de Tóxico, que está vinculada às propriedades da droga, ao risco social e saúde pública e não a lesividade comprovada em caso concreto" (TJRS - Ap. Crim. nº 58.800 3722 - Rel. JOÃO RICARDO VINHAS - RJTJRS, 130/166). - Pouco importa se a quantidade de "maconha" apreendida traga ou não dependência psíquica ao usuário. O que importa é que aquele que faz uso de maconha se torna uma ameaça para a sociedade, pois, em se tornando viciado ou dependente, certamente difundirá o uso, direta ou indiretamente. - A Lei de Tóxicos não se refere à quantidade da erva, mas proíbe portar substância entorpecente sem autorização. Ac. de 18-08-1994 Jurisprudência Mineira - Outubro a Dezembro de 1994 - Vol. 128 - Pág. 331 EMFOR 561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a quantidade de maconha apreendida em poder do usuário seja ínfima, fica configurada a tipicidade do crime previsto no art. 16 da Lei de Tóxico.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2026-07-27T22:57:38.518Z</dcterms:created>
  <dcterms:modified xsi:type="dcterms:W3CDTF">2026-07-27T22:57:38.518Z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