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Recurso: </w:t>
      </w:r>
      <w:r>
        <w:t xml:space="preserve">Recurso Extraordinário 109.619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PEQUENA QUANTIDADE DA DROGA — SE DESCARACTERIZA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fato certo e admitido pelo Tribunal a quo que os Recorridos foram surpreendidos, na via pública, trazendo consigo, para uso próprio, cerca de um grama de maconha. - Apreciando questão análoga, como Relator do Recurso Extraordinário nº 109.619, dei-lhe provimento, por violação do art. 16 da Lei de Tóxicos e divergência com os mesmos acórdãos ora trazidos a confronto. - Naquela assentada, observei, depois de invocar o magistério de JOÃO CLAUDINO DE OLIVEIRA E CRUZ e de citar precedente da lavra do saudoso Ministro RODRIGUES ALCKMIM (RHC 52.235, RTJ 68/360): "Penso, então, que a quantidade da substância pode influir na dosagem da pena. Deve, igualmente, repercutir na distinção entre as figuras delituosas previstas no art. 16 da Lei nº 6.368-76. Mas não é suscetível de prejudicar a configuração da tipicidade do crime, que está vinculada à potencialidade da droga, ao risco social e de saúde pública e não à lesividade comprovada em cada episódio concreto." - Nesse mesmo sentido já havia deliberado esta Turma, ao julgar o Recurso Extraordinário nº ... 109.553, relatado pelo eminente Ministro OSCAR CORRÊA. Ac. de 29-05-1987 Arquivo do STF - DJ 07-08-87 - Ementário nº 1.468-5 Arquivo do EMFOR - STF/293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circunstância de ser mínima a quantidade da maconha encontrada em poder dos réus não prejudica a configuração da tipicidade do crime previsto no art. 16 da Lei nº 6.368/76, que está vinculada às propriedades da droga, ao risco social e de saúde pública e não à lesividade comprovada em cada caso concreto.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2026-10-26T03:51:06.805Z</dcterms:created>
  <dcterms:modified xsi:type="dcterms:W3CDTF">2026-10-26T03:51:06.805Z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