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CONFISSÃO EXTRAJUDICIAL</w:t>
      </w:r>
    </w:p>
    <w:p/>
    <w:p/>
    <w:p>
      <w:r>
        <w:t xml:space="preserve">EXAME TOXICOLÓGICO — SE É NECESSÁRIO PARA O SEU OFERECIMENTO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Assim inteira razão ao representante do Ministério Público. - Realmente, nos termos do art. 22, § 1º, da lei de tóxicos, «para efeito ... do oferecimento da denúncia, no que tange à materialidade do delito bastará laudo de constatação da natureza da substância...». - "In casu", essa laudo encontra-se nos autos, como se vê... - Assim sendo, não cabia ao Magistrado determinar que se esperasse pela vinda do laudo de exame toxicológico, o qual, consoante dispõe o art. 25 do mesmo diploma legal, «... será juntado ao processo até a audiência de instrução e julgamento». - É evidentemente, se essa peça não tiver vindo para os autos até a sentença, o julgamento deverá ser convertido em diligência. - Não é curial que o processo fique paralisado, como determinou o d. Juiz o que implica "error in procedendo". - Pelo exposto, deferem a correição a fim de cassar o r. despacho impugnado, cabendo a S. Exa. receber ou rejeitar a peça vestibular. Ac. de 03-02-1988 Revista dos Tribunais - Fev/88 - Vol. 628 - Pág. 308. EMFOR 491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oferecimento de denúncia por posse de entorpecente, no que tange à materialidade do delito, é suficiente a apresentação do laudo de constatação da natureza da substância. Assim sendo não cabe ao magistrado determinar que se aguarde a vinda do laudo de exame toxicológico, a qual, consoante dispõe o art. 25 da Lei 6.368/76, pode ser juntado aos autos até a audiência de instrução e julgamento. A paralisação do processo implica "error in procedendo", autorizando o deferimento de correição parcial.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2026-07-27T23:20:37.548Z</dcterms:created>
  <dcterms:modified xsi:type="dcterms:W3CDTF">2026-07-27T23:20:37.548Z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