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CONFISSÃO EXTRAJUDICIAL</w:t>
      </w:r>
    </w:p>
    <w:p/>
    <w:p/>
    <w:p>
      <w:r>
        <w:t xml:space="preserve">OFERECIMENTO OU FORNECIMENTO NAS IMEDIAÇÕES — CAUSA ESPECIAL DE AUMENTO DA PENA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inúmeros acórdãos desta Corte vêm entendendo que tal causa de aumento «não incide se o agente consumia o tóxico nas proximidades da faculdade; o inc. IV deve ser aplicado a quem vende, oferece ou fornece tóxico nas imediações de estabelecimentos escolares» (cf. CELSO DELMANTO, (Lei de Tóxicos, pág. 46). - No «Código Penal e sua Interpretação Jurisprudencial», ALBERTO SILVA FRANCO e outros, 2ª ed., há inúmeros acórdãos deste Tribunal e, inclusive do Pretório Excelso (ob. Cit. pág. 1.376). Ac. de 24-02-1988 Revista dos Tribunais- Fev/88 - Vol. 628 - Pág. 302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causa especial de aumento da pena prevista no art. 18, IV, da Lei nº 6.368/76 deve ser aplicada a quem vende, oferece ou fornece tóxico nas imediações de estabelecimentos escolares, e não a quem consome a droga nas proximidades de algum escola onde não havia qualquer pessoa e durante período de férias escolares, pois o que a lei quer proteger obviamente, é a juventude, e não o prédio das escolas.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2026-07-28T01:56:13.584Z</dcterms:created>
  <dcterms:modified xsi:type="dcterms:W3CDTF">2026-07-28T01:56:13.584Z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