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CONFISSÃO EXTRAJUDICIAL</w:t>
      </w:r>
    </w:p>
    <w:p/>
    <w:p>
      <w:r>
        <w:rPr>
          <w:b/>
          <w:bCs/>
        </w:rPr>
        <w:t xml:space="preserve">Julgado em: </w:t>
      </w:r>
      <w:r>
        <w:t xml:space="preserve">27/06/1984</w:t>
      </w:r>
    </w:p>
    <w:p/>
    <w:p>
      <w:r>
        <w:t xml:space="preserve">FALTA DE INDAGAÇÃO A RESPEITO — FACULDADE DO JUIZ DE AFERIR SUA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...Pelo que consta do termo de interrogatório, verifica-se que o paciente realmente não foi indagado de sua eventual dependência ao vício, (art. 22, § 5º, da Lei 6.368/76). - Contudo, nos termos do artigo 572, I, do Código de Processo Penal, essa nulidade ficou sanada, por não ter sido argüida em tempo oportuno. - Quanto a realização do exame de dependência cabe ao juiz aferir, nos casos concretos, a sua necessidade, determinando a sua realização quando tiver dúvida no tocante à integridade mental do acusado. Julgado em 28-06-1984 Revista Trimestral de Jurisprudência. Vol. 118 - Pág. 83.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ao Juiz, no caso concreto, a necessidade de realização de exame de dependência toxicológica.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2026-07-27T22:50:19.788Z</dcterms:created>
  <dcterms:modified xsi:type="dcterms:W3CDTF">2026-07-27T22:50:19.788Z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