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04/05/1987</w:t>
      </w:r>
    </w:p>
    <w:p/>
    <w:p>
      <w:r>
        <w:t xml:space="preserve">ELEMENTO INDISPENSÁVEL PARA APURAR A IDENTIDADE DO MATERIAL APREENDIDO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exame de corpo de delito é necessário para configurar o crime que deixa vestígio, como o exige o art. 158 do Código de Processo Penal. - Entretanto, em caso em que não foi possível a realização do exame de corpo de delito direto, faz-se ele indiretamente, através de meios probatórios idôneos e isso é admitido pela jurisprudência. - A respeito, e como exemplos: RHC 62.743-9 - PR, 1ª Turma, em 25-06-85 e RHC 59.998-2 - ES, 1ª Turma, DJ de 24-09-82. - No caso, porém, acompanho o Ministro Relator, porquanto o que se vê é que não chegou a haver o exame de corpo delito mesmo indiretamente, pois a prova apurada foi à base de elementos insuficientes para suprir aquela deficiência. Julgado em 05-05-1987 Arquivo do STF - DJ 05-06-87 - Ementário nº 1.464.4 Arquivo do Ementário Forense, STF/71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exame toxicológico da substância que motiva a ação penal contra o réu é assumido pela lei como elemento indispensável, para apurar a identidade do material acolhido, com vistas a demonstrar a realidade do comportamento típico.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2026-07-28T01:50:20.567Z</dcterms:created>
  <dcterms:modified xsi:type="dcterms:W3CDTF">2026-07-28T01:50:20.567Z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