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108.726-9</w:t>
      </w:r>
    </w:p>
    <w:p>
      <w:r>
        <w:rPr>
          <w:b/>
          <w:bCs/>
        </w:rPr>
        <w:t xml:space="preserve">Julgado em: </w:t>
      </w:r>
      <w:r>
        <w:t xml:space="preserve">15/09/1986</w:t>
      </w:r>
    </w:p>
    <w:p/>
    <w:p>
      <w:r>
        <w:t xml:space="preserve">QUAIS AS SUBSTÂNCIAS COMO  TAL CONSIDERADAS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1ª Turma, em acórdão recente, datado de 26-08-1986, Relator, o eminente Ministro OSCAR CORRÊA, no julgamento do RE nº 108.726-9 (Cr) - PR, deixou assentado: &lt;&lt;Entorpecentes. Cocaína. Matéria-prima, Art. 12, § 1º, I, da Lei nº 6.368/76 - Éter sulfúrico e acetona, substâncias que, reconhecidamente, servem para o refino da cocaína. - A expressão "matéria-prima" constante do inciso I, do § 1º, art. 12 da Lei nº 6.368/76 compreende não só as substâncias destinadas exclusivamente à preparação da droga, como as que eventualmente, se prestem a essa finalidade. Recurso extraordinário conhecido, mas improvido&gt;&gt;. Julgado em 16-09-1986 Revista Trimestral de Jurisprudência. Vol. 119 (Janeiro 87) - Pág. 173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expressão "matéria-prima" constante do inciso I do § 1º, do art. 12, da Lei 6.368/76 compreende não só as substâncias destinadas exclusivamente à preparação da droga, como as que, eventualmente, se prestem a essa finalidade.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2026-07-27T23:16:19.500Z</dcterms:created>
  <dcterms:modified xsi:type="dcterms:W3CDTF">2026-07-27T23:16:19.500Z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