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108.726-9</w:t>
      </w:r>
    </w:p>
    <w:p>
      <w:r>
        <w:rPr>
          <w:b/>
          <w:bCs/>
        </w:rPr>
        <w:t xml:space="preserve">Julgado em: </w:t>
      </w:r>
      <w:r>
        <w:t xml:space="preserve">15/09/1986</w:t>
      </w:r>
    </w:p>
    <w:p/>
    <w:p>
      <w:r>
        <w:t xml:space="preserve">QUAIS AS SUBSTÂNCIAS COMO  TAL CONSIDERADAS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1ª Turma, em acórdão recente, datado de 26-08-1986, Relator, o eminente Ministro OSCAR CORRÊA, no julgamento do RE nº 108.726-9 (Cr) - PR, deixou assentado: &lt;&lt;Entorpecentes. Cocaína. Matéria-prima, Art. 12, § 1º, I, da Lei nº 6.368/76 - Éter sulfúrico e acetona, substâncias que, reconhecidamente, servem para o refino da cocaína. - A expressão "matéria-prima" constante do inciso I, do § 1º, art. 12 da Lei nº 6.368/76 compreende não só as substâncias destinadas exclusivamente à preparação da droga, como as que eventualmente, se prestem a essa finalidade. Recurso extraordinário conhecido, mas improvido&gt;&gt;. Julgado em 16-09-1986 Revista Trimestral de Jurisprudência. Vol. 119 (Janeiro 87) - Pág. 173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expressão "matéria-prima" constante do inciso I do § 1º, do art. 12, da Lei 6.368/76 compreende não só as substâncias destinadas exclusivamente à preparação da droga, como as que, eventualmente, se prestem a essa finalidade.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2026-10-26T04:16:03.336Z</dcterms:created>
  <dcterms:modified xsi:type="dcterms:W3CDTF">2026-10-26T04:16:03.336Z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