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JUIZADO ESPECIAL</w:t>
      </w:r>
    </w:p>
    <w:p>
      <w:r>
        <w:rPr>
          <w:i/>
          <w:iCs/>
          <w:color w:val="666666"/>
        </w:rPr>
        <w:t xml:space="preserve">CONFLITO DE COMPETÊNCIA</w:t>
      </w:r>
    </w:p>
    <w:p/>
    <w:p>
      <w:r>
        <w:rPr>
          <w:b/>
          <w:bCs/>
        </w:rPr>
        <w:t xml:space="preserve">Julgado em: </w:t>
      </w:r>
      <w:r>
        <w:t xml:space="preserve">06/05/1985</w:t>
      </w:r>
    </w:p>
    <w:p/>
    <w:p>
      <w:r>
        <w:t xml:space="preserve">FIXAÇÃO PELO LOCAL EM QUE COMETIDO O CRIME MAIS GRAVE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Com efeito, conforme a ilustrada Procuradoria Geral de Justiça - "tratando-se de crimes conexos em que o delito mais grave foi cometido noutra comarca, a competência do Juiz segue a regra prevista no art. 76, III, c/c art. 78, II, letra c, da lei adjetiva penal. Ora, como o furto qualificado "ocorreu em lages" e o estelionato foi praticado em Trombudo Central utilizando-se os infratores - dos quais o paciente é um deles - do produto daquela subtração dúvida inexiste sobre a competência do Juízo de Direito da referida comarca de Lages, para processar e julgar os estelionatos". - Ante o exposto, o "writ" é indeferido. Julgado em 07-05-1985 Jurisprudência Catarinense. 2º Trimestre de 1985 - Nº XLVIII - Pág. 363 EMFOR 446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de crimes conexos em que o delito mais grave foi cometido em outra comarca, a competência do Juiz segue a regra prevista no artigo 76, III, c/c, o artigo 78, II, letra c, todos do Código de Processo Penal.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2026-10-26T04:20:21.090Z</dcterms:created>
  <dcterms:modified xsi:type="dcterms:W3CDTF">2026-10-26T04:20:21.090Z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