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Julgado em: </w:t>
      </w:r>
      <w:r>
        <w:t xml:space="preserve">06/05/1985</w:t>
      </w:r>
    </w:p>
    <w:p/>
    <w:p>
      <w:r>
        <w:t xml:space="preserve">FIXAÇÃO PELO LOCAL EM QUE COMETIDO O CRIME MAIS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conforme a ilustrada Procuradoria Geral de Justiça - "tratando-se de crimes conexos em que o delito mais grave foi cometido noutra comarca, a competência do Juiz segue a regra prevista no art. 76, III, c/c art. 78, II, letra c, da lei adjetiva penal. Ora, como o furto qualificado "ocorreu em lages" e o estelionato foi praticado em Trombudo Central utilizando-se os infratores - dos quais o paciente é um deles - do produto daquela subtração dúvida inexiste sobre a competência do Juízo de Direito da referida comarca de Lages, para processar e julgar os estelionatos". - Ante o exposto, o "writ" é indeferido. Julgado em 07-05-1985 Jurisprudência Catarinense. 2º Trimestre de 1985 - Nº XLVIII - Pág. 363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crimes conexos em que o delito mais grave foi cometido em outra comarca, a competência do Juiz segue a regra prevista no artigo 76, III, c/c, o artigo 78, II, letra c, todos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2026-07-28T00:12:43.228Z</dcterms:created>
  <dcterms:modified xsi:type="dcterms:W3CDTF">2026-07-28T00:12:43.228Z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