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SUPERIOR TRIBUNAL DE JUSTIÇA</w:t>
      </w:r>
    </w:p>
    <w:p>
      <w:r>
        <w:rPr>
          <w:i/>
          <w:iCs/>
          <w:color w:val="666666"/>
        </w:rPr>
        <w:t xml:space="preserve">COMPETÊNCIA</w:t>
      </w:r>
    </w:p>
    <w:p/>
    <w:p>
      <w:r>
        <w:rPr>
          <w:b/>
          <w:bCs/>
        </w:rPr>
        <w:t xml:space="preserve">Tribunal: </w:t>
      </w:r>
      <w:r>
        <w:t xml:space="preserve">STJ</w:t>
      </w:r>
    </w:p>
    <w:p/>
    <w:p>
      <w:r>
        <w:t xml:space="preserve">ACIDENTE DE TRÂNSITO — MILITAR QUE  VITIMA MILITAR - JUSTIÇA MILITAR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A matéria não é nova, como ressaltou o digno representante do MPF, nesta Seção, onde já se firmou o entendimento segundo o qual nos casos de acidente de trânsito provocado por veículo conduzido por militar, em que vitimou militar deve ser apurado em processo da competência da Justiça Castrense. - Entre outros julgados posso relacionar os Conflitos de Competência de números 362, 658 e 828, todos de minha relatoria e originários do Estado de São Paulo. Ac. de 17-05-1990 DJ de 4-6-1990 Arquivo do EMFOR - STJ/451 EMFOR 515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O acidente de trânsito provocado por veículo conduzido por militar, em que vitimou militar, deve ser apurado em processo da competência da Justiça Castrense.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2026-07-28T00:11:17.624Z</dcterms:created>
  <dcterms:modified xsi:type="dcterms:W3CDTF">2026-07-28T00:11:17.624Z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