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COMPETÊNCIA</w:t>
      </w:r>
    </w:p>
    <w:p/>
    <w:p/>
    <w:p>
      <w:r>
        <w:t xml:space="preserve">LOCAL ONDE OCORREU O PERIGO DE DANO À ADMINISTRAÇÃO DA JUSTIÇA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entendimento doutrinário e jurisprudencial dominante que a competência para processamento do crime previsto no art. 342 do CP é a do lugar onde ocorreu o perigo de dano à Administração da Justiça, ou seja, na comarca onde o testemunho foi prestado. - Na hipótese dos autos o apelante serviu como testemunha na comarca de Ibiúna, onde também foi denunciado e processado pelo falso. Aplica-se na espécie as regras dos arts. 70 e 75 do CPP. - Não há, portanto, se falar ser incompetente o Juízo, sendo incabível tal preliminar. Ac. de 24-10-1996 Revista dos Tribunais - Abril de 1997 - pág. 610 EMFOR 592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competência para processamento do crime de falso testemunho é a do lugar onde ocorreu o perigo de dano à Administração da Justiça, ou seja, na comarca onde o testemunho foi prestado.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2026-10-26T03:09:55.596Z</dcterms:created>
  <dcterms:modified xsi:type="dcterms:W3CDTF">2026-10-26T03:09:55.596Z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