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COMUNICAÇÃO FALSA DE CRIME</w:t>
      </w:r>
    </w:p>
    <w:p/>
    <w:p/>
    <w:p>
      <w:r>
        <w:t xml:space="preserve">FALSO TESTEMUNHO PRATICADO PERANTE  A JUSTIÇA DO TRABALHO — QUANDO SE 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falso testemunho praticado em reclamação trabalhista atinge interesses da União. E, por conseqüência o processo criminal ajuizado para punir o autor desse delito, deve correr perante o juízo criminal e não perante o juízo estadual, incompetente para tanto, como bem elucidado no parecer do Procurador de Justiça, Dr. LUIZ ANTÔNIO DE GODOY (cf. RTJ 105/585). - A Justiça do Trabalho se vincula à Justiça Federal, pelo que, incompetente a Justiça estadual concede-se habeas corpus de ofício, para anular o processo criminal em questão e determinar a remessa destes autos à Justiça Federal, competente para processar e julgar a presente impetração. Ac. de 13-02-1991 Revista dos Tribunais - Nov. de 1991 - Vol. 673 - Pág. 320.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falso testemunho praticado em reclamação trabalhista em trâmite perante a Justiça do Trabalho, atinge interesses da União, razão pela qual é competente para seu julgamento o juízo criminal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2026-10-26T03:48:09.104Z</dcterms:created>
  <dcterms:modified xsi:type="dcterms:W3CDTF">2026-10-26T03:48:09.104Z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