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/>
    <w:p>
      <w:r>
        <w:t xml:space="preserve">FALSO TESTEMUNHO PRATICADO PERANTE  A JUSTIÇA DO TRABALHO — QUANDO SE 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falso testemunho praticado em reclamação trabalhista atinge interesses da União. E, por conseqüência o processo criminal ajuizado para punir o autor desse delito, deve correr perante o juízo criminal e não perante o juízo estadual, incompetente para tanto, como bem elucidado no parecer do Procurador de Justiça, Dr. LUIZ ANTÔNIO DE GODOY (cf. RTJ 105/585). - A Justiça do Trabalho se vincula à Justiça Federal, pelo que, incompetente a Justiça estadual concede-se habeas corpus de ofício, para anular o processo criminal em questão e determinar a remessa destes autos à Justiça Federal, competente para processar e julgar a presente impetração. Ac. de 13-02-1991 Revista dos Tribunais - Nov. de 1991 - Vol. 673 - Pág. 320.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falso testemunho praticado em reclamação trabalhista em trâmite perante a Justiça do Trabalho, atinge interesses da União, razão pela qual é competente para seu julgamento o juízo criminal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2026-07-28T00:28:15.737Z</dcterms:created>
  <dcterms:modified xsi:type="dcterms:W3CDTF">2026-07-28T00:28:15.737Z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