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COMUNICAÇÃO FALSA DE CRIME</w:t>
      </w:r>
    </w:p>
    <w:p/>
    <w:p>
      <w:r>
        <w:rPr>
          <w:b/>
          <w:bCs/>
        </w:rPr>
        <w:t xml:space="preserve">Recurso: </w:t>
      </w:r>
      <w:r>
        <w:t xml:space="preserve">re 30.04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Julgado em: </w:t>
      </w:r>
      <w:r>
        <w:t xml:space="preserve">04/11/1996</w:t>
      </w:r>
    </w:p>
    <w:p/>
    <w:p>
      <w:r>
        <w:t xml:space="preserve">FALSIDADE IDEOLÓGICA — FINANCIAMENTO DE CAMPANHA ELEITORAL OCULTA SOB A FORMA DE CONTRATOS LÍCITOS ENTRE EMPRESAS - BENS JURÍDICOS OFENDIDOS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"Os denunciados são, todos eles, dirigentes de empresas do Grupo Mendes Júnior, estabelecidos em Belo Horizonte (MG), quais sejam, Mendes Júnior S.A., Construtora Mendes Júnior S.A., Mendes Júnior Engenharia S.A., e agindo nessa qualidade forjaram a celebração de diversos contratos com a empresa Pau Brasil Engenharia e Montagens Ltda., estabelecida em São Paulo (SP), tendo por suposto objeto a prestação de `serviços de assistência técnica' por esta à Construtora Mendes Júnior S.A., em obras contratadas com órgãos e empresas públicos. Segundo informação prestada pela empresa Mendes Júnior S.A., a f., todos eles têm autonomia para movimentar recursos financeiros do Grupo, agindo isoladamente, e nenhum desempenha funções estritamente técnicas, isto é, eles se envolvem nas questões negociais e políticas do Grupo. Apurou-se, entretanto, pela análise dos contratos falsos encartados a f., em cotejo com a contabilidade da Construtora Mendes Júnior S.A. e com declarações espontaneamente prestadas pelo representante legal da Pau Brasil a ilustres Procuradores da República em São Paulo (f.), na presença de ilustre advogado constituído, que na realidade os falsos contratos prestaram-se apenas a tentar encobrir desvios de recursos do caixa da Construtora Mendes Júnior S.A., para `esquema' de captação de contribuições ilícitas destinadas ao financiamento de campanhas políticas realizadas no Estado de São Paulo. Constatou-se, assim, que o representante legal da Pau Brasil negociou com o denunciado Moysés Blas (f.), dirigente da Construtora Mendes Júnior S.A., que exercia, à época, o relevante cargo de Diretor de Desenvolvimento Estratégico, o fornecimento de recursos financeiros para as mencionadas campanhas políticas e, para dar aparência de legalidade a essa contribuição, foram forjados os contratos por parte dos demais denunciados. ................................................................................................... Como decorrência de diligências fiscais realizadas por auditores fiscais do Tesouro Nacional, foi impugnado o uso dos documentos falsos na contabilidade da Construtora Mendes Júnior S.A., do que resultou a constituição de crédito tributário superior a 60 mil UFIR's que a empresa imediatamente reconheceu como legítimo, pois que promoveu seu pagamento, embora incompleto, porque um dos consectários (a multa) não foi corretamente recolhido. Ocorre, entretanto, que a conduta delitiva dos denunciados não teve por objeto a redução de tributos devidos pela Construtora Mendes Júnior S.A., mas, diferentemente, lastrear na contabilidade desta as ilegítimas doações feitas a partidos políticos ou a coligações de partidos em campanhas eleitorais. Por isso, ainda que tivesse sido suficiente o tardio recolhimento dos tributos sonegados, não atingiria a punibilidade dos denunciados, a quem aqui se acusa de falsificação de documentos e de sua utilização na contabilidade da empresa. A falsificação e a utilização dos documentos atingiram serviços de fiscalização da União Federal e isso atrai a competência da E. Justiça Federal para conhecer da ação penal. A redução do montante dos tributos federais a recolher é meramente acidental e não determinou a conduta dos denunciados. A conduta dos denunciados, tal como descrita, viola o art. 299, c/c os arts. 29 e 71, todos do CP" (f.). - Portanto, é certo que foi imputado aos pacientes a prática do crime previsto no art. 299 do CP. - Quanto à alegação do impetrante no sentido de que existindo "conflito aparente de normas entre o a rt. 299 do CP, e o art. 1º da então vigente Lei 4.729/65", pelo princípio da especialidade esta deve prevalecer, não tem, no caso, qualquer relevância jurídica. - É que, como assinalou com propriedade o impetrado: "Os fatos narrados na denúncia evidentemente constituem crime, em tese, o que aliás não refuta o impetrante. Eventual erro na classificação do delito não acarreta a inépcia da peça acusatória, consoante orientação do STF (RTJ 59/691). Daí, embora entenda-se possa haver equívoco na classificação do crime feita na denúncia, tal fato não obsta o seu recebimento, sendo inadmissível, no despacho inaugural, que o Juiz desclassifique o crime (TJSP, RT 547/354). Por estes motivos foi a denúncia recebida, não importando em concordância, por parte deste Juiz, com a capitulação do delito nela contida. Porém, o exame da prescrição, naturalmente, só pode ser feito, anteriormente à sentença, ao abrigo de tal capitulação" (f.). - O CP para a prática do crime 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falsificação de documentos sob a forma de contratos por parte de empresa privada, a fim de lastrear sua contabilidade com ilegítimas doações feitas a partidos políticos em campanhas eleitorais, atinge bens jurídicos relevantes da União Federal; desse modo, a competência para conhecer da respectiva ação penal é da Justiça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2026-07-28T02:32:10.224Z</dcterms:created>
  <dcterms:modified xsi:type="dcterms:W3CDTF">2026-07-28T02:32:10.224Z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