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PB</w:t>
      </w:r>
    </w:p>
    <w:p>
      <w:r>
        <w:rPr>
          <w:i/>
          <w:iCs/>
          <w:color w:val="666666"/>
        </w:rPr>
        <w:t xml:space="preserve">COMPETÊNCIA</w:t>
      </w:r>
    </w:p>
    <w:p/>
    <w:p/>
    <w:p>
      <w:r>
        <w:t xml:space="preserve">CRIME PRATICADO DURANTE A FOLGA — JUSTIÇA COMUM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Embora a arma pertença ao patrimônio militar, segundo a Lei 9.299/96, a competência é da Justiça Comum". - De fato, essas as circunstâncias dos autos, induvidosa a competência da Justiça Comum. Sequer o uso de arma da corporação poderia deslocar a competência para a Justiça Castrense, eis que revogada a alínea f do art. 9.o, II, do CPM. Aliás, neste sentido, é o precedente por mim relatado que recebeu a ementa seguinte: "Competência. Crime militar. Aplicação imediata da Lei 9.299 de 1996. Ao definir a competência da Justiça Comum para os crimes contra a vida, cometidos por militar contra civil, a Lei 9.299, de 1996, é de aplicação imediata, a teor do disposto no art. 2. o do CPP. Recurso provido" (RHC 5.660-SP, DJ de 23.09.1996). - Ante o exposto, conheço do conflito para declarar a competência do MM. Juízo de Direito da 4.a Vara Criminal do Foro Regional II de Santo Amaro - São Paulo. Ac. de 12-03-1997 Revista dos Tribunais - Agosto de 1997 - vol 742 - pág. 584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Comum Estadual processar e julgar o delito de lesões corporais, cometido por policial militar em folga e em trajes civis, mediante uso de arma da corporação e em local não sujeito à administração militar, conforme dispõe a Lei 9.299/96.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2026-07-28T02:05:05.131Z</dcterms:created>
  <dcterms:modified xsi:type="dcterms:W3CDTF">2026-07-28T02:05:05.131Z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