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PB</w:t>
      </w:r>
    </w:p>
    <w:p>
      <w:r>
        <w:rPr>
          <w:i/>
          <w:iCs/>
          <w:color w:val="666666"/>
        </w:rPr>
        <w:t xml:space="preserve">COMPETÊNCIA</w:t>
      </w:r>
    </w:p>
    <w:p/>
    <w:p/>
    <w:p>
      <w:r>
        <w:t xml:space="preserve">CRIMES PRATICADOS EM SEU DETRIMENTO — JUSTIÇA COMUM ESTADUAL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Acertada a decisão do MM. Juiz Federal. A Carta Magna (art. 109, IV) atribui aos juízes federais competência para processar e julgar as infrações penais praticadas em detrimento de bens, serviços ou interesses da União ou de suas entidades autárquicas ou empresas públicas, não incluída na relação a sociedade de economia mista (Banco do Brasil). - Em razão disso, conheço do conflito e julgo-o procedente, para declarar a competência do Juízo Estadual da Comarca de Uruaçu-Goiás, para processar e julgar o feito. - É o meu voto. Ac. de 06-09-1990 (Reg. nº 90.7527-0) Revista do Superior Tribunal de Justiça, nº 38, outubro de 1992, pág. 62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Constituindo o Banco do Brasil uma sociedade de economia mista, as infrações penais praticadas em detrimento de seus bens ou interesses são da competência da justiça comum estadual.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2026-10-26T04:35:29.436Z</dcterms:created>
  <dcterms:modified xsi:type="dcterms:W3CDTF">2026-10-26T04:35:29.436Z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