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PAIM FALCÃO</w:t>
      </w:r>
    </w:p>
    <w:p/>
    <w:p>
      <w:r>
        <w:t xml:space="preserve">INTRODUÇÃO EM TERRITÓRIO NACIONAL — NÃO CONFIGURAÇÃO DO CONTRABANDO -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denúncia imputou ao Réu ..., de nacionalidade uruguaia, a prática de crime de contrabando por ter introduzido no Brasil, um veículo usado e que fora furtado no Uruguai. Por esse fato, foi o Réu condenado à pena de um ano de reclusão, como incurso no caput do art. 334 do Código Penal. Contudo, tenho que, na espécie, tem aplicação a Súmula n. 238 do extinto TFR que dispõe: "A saída de veículo furtado para o exterior, não configura o crime de descaminho ou contrabando, competindo à Justiça Comum Estadual, o processamento e julgamento dos delitos dela decorrente". - Nesse sentido, decidiu a 1ª Turma deste Tribunal, no julgamento da ACrim n. 89.04.15.378-6/PR, Rel. Juiz PAIM FALCÃO (DJ de 31.01.90): "EMENTA: - DIREITO PENAL. DIREITO PROCESSUAL PENAL. I - A teor do enunciado na Súmula n. 238, do Egrégio Tribunal Federal de Recursos, a saída de veículo furtado para o exterior não configura o crime de descaminho ou contrabando. II - A competência, porém, para o julgamento dos delitos decorrentes da saída de veículo furtado é da Egrégia Justiça Estadual, como se lê da mesma súmula, em sua parte final. III - Sentença que se anula, por incompetência absoluta do foro". - Portanto, mutatis mutandis, a entrada de veículo furtado, em território brasileiro, não configura o crime de contrabando. Ac. de 11-07-1996 Arquivo do EMFOR, TRF/N 2.603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introdução em Território Nacional de veículo furtado em outro País, não configura crime de contrabando (Súmula n. 238, TFR).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2026-10-26T04:58:43.517Z</dcterms:created>
  <dcterms:modified xsi:type="dcterms:W3CDTF">2026-10-26T04:58:43.517Z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