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/>
    <w:p>
      <w:r>
        <w:t xml:space="preserve">LOCATÁRIO QUE ATENDE À NOTIFICAÇÃO — DESTINO DIVERSO DADO AO IMÓVEL - DIREITO À MULTA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devida a multa prevista no art. 15, § 6º, da Lei nº 1.300, de 28-12-1950, ainda que a desocupação do imóvel tenha resultado da notificação e não haja sido proposta a ação de despejo. Referência: - Lei nº 1.300, de 28 de dezembro de 1950, art. 15, § 6º. Aprovada em Sessão de 13-12-1963 - pág. 107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2026-07-28T01:47:06.620Z</dcterms:created>
  <dcterms:modified xsi:type="dcterms:W3CDTF">2026-07-28T01:47:06.620Z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