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/>
    <w:p>
      <w:r>
        <w:t xml:space="preserve">E O PROCESSO EM QUE O MESMO FOI PRESTADO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defesa, a título de preliminar, que o atual processo seja conexo àquele em que houve o falso testemunho, e com ele devesse ser julgado. - A não obediência à conexão provocaria a nulidade. - Além do mais, não teria sido considerada a eximente do § 3º, do art. 342, do Código Penal. - O que se verifica, porém, é a inexistência da conexão, ou até a conveniência em que uma e outra ação sejam desconexas, vez que um processo deve seguir independentemente do outro, tanto há divergência jurisprudencial e doutrinária quanto a oportunidade da retratação prevista no § 3º, do artigo 342, para se saber se deverá ser antes da sentença de primeira estância ou do trânsito em julgado dela. Ac. de 04-04-1989 Arquivo do EMFOR - TJ/1925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conexão de causas entre o processo judicial no qual foram prestados falsos testemunhos e aquele instaurado para apurar a responsabilidade penal dos autores.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2026-10-26T02:08:56.871Z</dcterms:created>
  <dcterms:modified xsi:type="dcterms:W3CDTF">2026-10-26T02:08:56.872Z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