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13.894</w:t>
      </w:r>
    </w:p>
    <w:p/>
    <w:p>
      <w:r>
        <w:t xml:space="preserve">LOCATÁRIO QUE ATENDE À NOTIFICAÇÃO — DESTINO DIVERSO DADO AO IMÓVEL - DIREITO À MULTA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devida a multa prevista no artigo 15, parágrafo 6º, da Lei nº 1.300, de 28.12.50, ainda que a desocupação do imóvel tenha resultado da notificação e não haja sido proposta ação de despejo. Referência: AG 14.953, de 02.04.51; AG 24.602, de 09.05.61; RE 13.894, de 11.09.50 (D. de Just. de 09.07.52, p. 2.992); RE 48.684, de 26.09.61. Aprovada em Sessão de 13-12-1963 - pág. 107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2026-10-26T04:33:56.392Z</dcterms:created>
  <dcterms:modified xsi:type="dcterms:W3CDTF">2026-10-26T04:33:56.392Z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