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Recurso: </w:t>
      </w:r>
      <w:r>
        <w:t xml:space="preserve">RE 13.894</w:t>
      </w:r>
    </w:p>
    <w:p/>
    <w:p>
      <w:r>
        <w:t xml:space="preserve">LOCATÁRIO QUE ATENDE À NOTIFICAÇÃO — DESTINO DIVERSO DADO AO IMÓVEL - DIREITO À MULTA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devida a multa prevista no artigo 15, parágrafo 6º, da Lei nº 1.300, de 28.12.50, ainda que a desocupação do imóvel tenha resultado da notificação e não haja sido proposta ação de despejo. Referência: AG 14.953, de 02.04.51; AG 24.602, de 09.05.61; RE 13.894, de 11.09.50 (D. de Just. de 09.07.52, p. 2.992); RE 48.684, de 26.09.61. Aprovada em Sessão de 13-12-1963 - pág. 107 EMENTÁRIO FORENSE. Dezembro, 1964. Ano XVI. Nº 193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2026-07-27T23:38:13.203Z</dcterms:created>
  <dcterms:modified xsi:type="dcterms:W3CDTF">2026-07-27T23:38:13.203Z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