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CRIMINAL</w:t>
      </w:r>
    </w:p>
    <w:p>
      <w:pPr>
        <w:pStyle w:val="Title"/>
      </w:pPr>
      <w:r>
        <w:rPr>
          <w:b/>
          <w:bCs/>
        </w:rPr>
        <w:t xml:space="preserve">SUPERIOR TRIBUNAL DE JUSTIÇA</w:t>
      </w:r>
    </w:p>
    <w:p>
      <w:r>
        <w:rPr>
          <w:i/>
          <w:iCs/>
          <w:color w:val="666666"/>
        </w:rPr>
        <w:t xml:space="preserve">CONSTRANGIMENTO ILEGAL</w:t>
      </w:r>
    </w:p>
    <w:p/>
    <w:p>
      <w:r>
        <w:rPr>
          <w:b/>
          <w:bCs/>
        </w:rPr>
        <w:t xml:space="preserve">Tribunal: </w:t>
      </w:r>
      <w:r>
        <w:t xml:space="preserve">STJ</w:t>
      </w:r>
    </w:p>
    <w:p/>
    <w:p>
      <w:r>
        <w:t xml:space="preserve">DECORRÊNCIA DA ATUAÇÃO DA DEFESA — INOCORRÊNCIA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... Vê-se, pois, que se o processo vem sofrendo retardamento na sua tramitação, trata-se, de circunstância que decorre do comportamento da defesa, que não pode, a toda evidência, tirar proveito da irregularidade a que está dando causa. - Eu também assim entendo. Contra a pretensão do recorrente há precedentes inúmeros assegurando que não há constrangimento ilegal quando o excesso de prazo alegado resulta da atuação da própria defesa. Decisões nesse sentido foram tomadas no Supremo Tribunal Federal: "Recursos de "Habeas Corpus" nº 58.397 - PR, 1ª Turma, DJ de 21-11-1980, pág. 9.806, Relator o Exmo. Sr. Min. RAFAEL MAYER; RHC nº 63.951 - SP, 1ª Turma; Relator o Exmo. Sr. Ministro OSCAR CORRÊA, DJ de 23-5-1986, pág. 8.783; e no extinto Tribunal Federal de Recursos, HC nº 7.199 - SP, 2ª Turma, DJ de 2-6-1988; pág. 13.427, Relator eu mesmo. - Recurso Negado. Ac. de 21-08-1989 DJ de 11-9-1989 Arquivo do EMFOR - STJ/92 EMFOR 502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Não há constrangimento quando o retardamento na tramitação do processo decorre da atuação da própria defesa.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2026-07-28T03:26:35.079Z</dcterms:created>
  <dcterms:modified xsi:type="dcterms:W3CDTF">2026-07-28T03:26:35.079Z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