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14/10/1985</w:t>
      </w:r>
    </w:p>
    <w:p/>
    <w:p>
      <w:r>
        <w:t xml:space="preserve">DESTINO DIVERSO DADO AO IMÓVEL — ATENDIMENTO DA NOTIFICAÇÃO EXTRAJUDICIAL - SE IMPEDE A APLICAÇÃO DA MULTA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indicação da norma jurídica não é relevante, bastando que ao Juiz sejam ofertados os fatos, para que ele possa aplicar o Direito, cumprindo não se esquecer a parêmia latina "DA MIHI FACTUM TIBI JUS" ou aquela outra "IURA NOVIT CURIA". - Entende, sem razão, o apelante que o artigo 39, da atual Lei do Inquilinato não se aplica à espécie, porque a desocupação do imóvel se deu, não em consequência de uma ação, mas sim em atendimento a uma notificação extrajudicial. - É evidente que o espírito da lei foi exatamente o de coibir a utilização de ações de despejo, sob o manto da justiça, para mascarar ilícitos procedimentos dos proprietários, em detrimento de locatários. - O apelado desocupou o imóvel, com confirmado em contestação, em decorrência da carta que lhe foi enviada..., confiando na sinceridade do pedido e, até, dispensando que a parte contrária ingressasse com a respectiva ação e efetivasse gastos. - A multa, no meu entender, com mais razão é devida, já que a desocupação se deu em virtude de pedido, cuja comprovação de insinceridade se constatou. - Na hipótese, a notificação extrajudicial, que, pela atual Lei do Inquilinato, não tem porque ser feita, produziu resultado, tanto que o imóvel foi desocupado, não podendo, agora, o locador, valer-se de sua própria torpeza para eximir-se do pagamento da multa. - O prédio, por iniciativa do Recorrente foi desocupado e aquele, ao invés de dele se utilizar , imediatamente o colocou a venda e, não passados dois meses o vendeu. - Pode o locatário, no caso, valer-se da ação ordinária para postular seus direitos, porque o Parágrafo Único, do artigo 39, só se aplica aos casos em que tiver ocorrido anterior ação de despejo. - A sentença foi, até benevolente para com o réu, visto que condenou a uma multa equivalente a 10 vezes o valor do último aluguel, e, ainda, fixou em 15% a verba honorária, quando o suso mencionado artigo de lei manda que seja de 20%. - Por tais fundamentos, nego provimento ao recurso. Julgado em 15-10-1985 Arquivo do EMFOR, TA/686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39 da Lei 6.649, de 1979. - Há de se aplicar a multa decorrente da não utilização do prédio, para o fim declarado na notificação extrajudicial. - Não importa que a desocupação do imóvel tenha decorrido de notificação extrajudicial, que ante a lei atual não teria porque ser feita, mas que serviu aos objetivos do locador, que não pode valer-se de sua torpeza, para eximir-se do pagamento da multa.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2026-07-28T09:01:05.659Z</dcterms:created>
  <dcterms:modified xsi:type="dcterms:W3CDTF">2026-07-28T09:01:05.659Z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