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Recurso: </w:t>
      </w:r>
      <w:r>
        <w:t xml:space="preserve">Apelação 21.228</w:t>
      </w:r>
    </w:p>
    <w:p>
      <w:r>
        <w:rPr>
          <w:b/>
          <w:bCs/>
        </w:rPr>
        <w:t xml:space="preserve">Relator: </w:t>
      </w:r>
      <w:r>
        <w:t xml:space="preserve">COSTA VAL</w:t>
      </w:r>
    </w:p>
    <w:p/>
    <w:p>
      <w:r>
        <w:t xml:space="preserve">SE HÁ NECESSIDADE DA PROVA EFETIVA DE DEGRADAÇÃO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Evidenciado ficou, realmente, não só através das declarações do réu ... e da vítima ..., como dos depoimentos das testemunhas RCRA e JGS, que o ora apelante relacionou-se sexualmente com a referida menor, sua namorada, moça honesta e inexperiente, que por ele se apaixonara. - Por outro lado, não merece acolhida, data vênia, a tese de que a corrupção não se perfez, à falta da efetiva degradação da vítima. - Em hipóteses semelhantes, a jurisprudência já se firmou no sentido de que: "A prática de atos sexuais, com menor honesta e não corrompida, aptos a corrompê-la, incide na sanção do art. 218 do CP" (RT, 561/306). "... tratando-se de delito formal, prescinde-se, para sua configuração, da prova efetiva da corrupção" (DJU, 1-7-83, 10.000). VENCIDO O DESEMBARGADOR RELATOR, MONTEIRO DE BARROS Ac. de 09-09-1987 Jurisprudência Mineira, Janeiro a Dezembro de 1987, Vols. 97/100 - Pág. 340. NO MESMO SENTIDO: Apelação nº 21.228, Tr. Just. S. Paulo - 3ª C., Relator, Desembargador J. AUGUSTO DE LIMA, ac. de 28-5-1948 e Apelação nº 16.299, Tr. Just. M. Gerais - 1ª C. Relator: Juiz COSTA VAL, ac. de 28-2-1984, respectivamente in "EMENTÁRIO FORENSE", Ns. 8e446.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configure o crime de corrupção de menores, basta ter o réu mantido relações sexuais com menor honesta e de boa conduta moral, sendo desnecessária, portanto, a prova efetiva da degradação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2026-10-26T06:01:00.949Z</dcterms:created>
  <dcterms:modified xsi:type="dcterms:W3CDTF">2026-10-26T06:01:00.949Z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