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Apelação Cível 59.236/87</w:t>
      </w:r>
    </w:p>
    <w:p/>
    <w:p>
      <w:r>
        <w:t xml:space="preserve">CURSO DE MECANOGRAFIA — SE COMO TAL SE CONCEITUA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chamados "cursinhos" de datilografia têm por objetivo exclusivo melhorar a habilitação profissional dos alunos, alargando-lhes o campo de opção de emprego. Não há da parte desses alunos o menor compromisso com o estabelecimento e muito menos com as diretrizes adotadas pelos órgãos técnicos da Pública Administração, no que respeita à política educacional. O corpo docente não é organizado segundo as normas estabelecidas pelo ministério ou pelas Secretarias ligadas ao setor, como bem definiu o culto Juiz LAERSON MAURO, no acórdão prolatado na Apelação Cível nº 59.236/87; "a atividade educacional não é relevante para definir o tipo de locação se não for desenvolvida por estabelecimento de ensino, como tal compreendendo-se a entidade que mantenha curso regular e estável, autorizado, organizado e fiscalizado por órgão oficial de educação". - A toda evidência, portanto, não incide, no presente caso, a Lei nº 6.239/75, que abre séria restrição ao direito de propriedade. Ac. de 08-03-1989 Arquivo do EMFOR - TA/2.225 EMFOR 524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Curso de mecanografia reunindo pequeno corpo de alunos, em sala diminuta, não constitui estabelecimento de ensino e está fora da proteção outorgada pela Lei nº 6.239/75.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2026-07-27T23:34:50.847Z</dcterms:created>
  <dcterms:modified xsi:type="dcterms:W3CDTF">2026-07-27T23:34:50.847Z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