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CONTINUADO</w:t>
      </w:r>
    </w:p>
    <w:p>
      <w:r>
        <w:rPr>
          <w:i/>
          <w:iCs/>
          <w:color w:val="666666"/>
        </w:rPr>
        <w:t xml:space="preserve">ESTUPRO E ATENTADO VIOL AO PUDOR</w:t>
      </w:r>
    </w:p>
    <w:p/>
    <w:p/>
    <w:p>
      <w:r>
        <w:t xml:space="preserve">OFENSA A BEM PERSONALÍSSIMO COMO A VIDA — QUANDO NÃO SE CARACTERIZA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se admite continuidade delitiva nos crimes contra a vida. Referência: Dec.-Lei nº 2.848/40 - art. 51, "caput" e §§ 1º e 2º. RECr 86.823, 1ª T., 03.04.79, Rel. XA, RTJ 89/981 RECr 91.413, 2ª T., 18.09.79, Rel. DF, RTJ 95.424 RECr 90.588, 2ª T., 13.11.79, Rel. CG, RTJ 92/1352 RECr 91.563, 1ª T., 05.02.80, Rel. RM, RTJ 93/1333 RECr 92.375, 2ª T., 22.04.80, Rel. DM, RTJ 94/929 Aprovada em Sessão de 17-10-1984. EMFOR 456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2026-07-28T00:20:49.333Z</dcterms:created>
  <dcterms:modified xsi:type="dcterms:W3CDTF">2026-07-28T00:20:49.333Z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