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Relator: </w:t>
      </w:r>
      <w:r>
        <w:t xml:space="preserve">FIRMINO PAZ</w:t>
      </w:r>
    </w:p>
    <w:p>
      <w:r>
        <w:rPr>
          <w:b/>
          <w:bCs/>
        </w:rPr>
        <w:t xml:space="preserve">Julgado em: </w:t>
      </w:r>
      <w:r>
        <w:t xml:space="preserve">15/12/1983</w:t>
      </w:r>
    </w:p>
    <w:p/>
    <w:p>
      <w:r>
        <w:t xml:space="preserve">BENS PERSONALÍSSIMOS — LIBERDADE SEXUAL - PRÁTICA CONTRA PESSOAS DIVERSAS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parecer da Douta Procuradoria-Geral da República ...: A questão é pacífica no Pretório Excelso, no sentido de que não é possível falar em crime continuado em se tratando de delitos que dizem respeito a bens personalíssimos, desde que não haja unidade de sujeito passivo: "Nos crimes consumados ou tentados, contra bens personalíssimos - vida, honra e liberdade -, não se pode aplicar o princípio da continuidade delitiva, salvo nos casos especialíssimos. Recurso extraordinário conhecido e provido. (RECr. 95.459 - SP, Rel. Ministro FIRMINO PAZ, RTJ 100/462). Penal: Crime continuado. Crimes contra a liberdade sexual. Inadmissível o reconhecimento da continuidade delitiva entre as figuras penais de estupro e do atentado violento ao pudor, praticados contra pessoas diversas. Afastada a continuidade, seja por não se tratar de crimes da mesma espécie (Código Penal, art. 51, § 2º), seja por atingirem o ente humano de um de seus bens personalíssimos a honra". RECr 91.862-1 - SP, Rel. Ministro DÉCIO MIRANDA (DJ de 28.03.80, pág. 1.776). Julgado em 16-12-1983 Revista Trimestral de Jurisprudência - Vol. 116 - Pág. 1.079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inadmissível, a continuidade delitiva quando os crimes contra liberdade sexual têm como vítimas pessoas diversas.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2026-07-28T00:15:58.033Z</dcterms:created>
  <dcterms:modified xsi:type="dcterms:W3CDTF">2026-07-28T00:15:58.033Z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