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Recurso: </w:t>
      </w:r>
      <w:r>
        <w:t xml:space="preserve">apelação cível 24.230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DOLO — NECESSIDADE DESTE PARA A 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"Nosso Egrégio Tribunal de Justiça tem decidido e, agora, recentemente no julgamento da apelação cível nº 24.230, da comarca de São Francisco do Sul, em que foi relator o Des. WLADIMIR D'IVANENKO, o seguinte: "Economia popular - Dolo - Comprovação. Para a configuração do crime contra a economia popular, imprescindível a comprovação do dolo no procedimento do agente. Assim ausente o dolo, inexistente o delito" (TJSC, Ac. Unân. da 1ª Câm. Crim., jul. em 25-8-88). "E, não havendo certezas do ânimo doloso aos réus, a melhor solução que se apresente é sua absolvições, já que esse delito não é apenado a titulo culposo. Há que existir a vontade livre e consciente de prejudicar o adquirente. Ac. de 22-02-1990 Jurisprudência Catarinense, 1º e 2º Trim. de 1990 - Vol. LXVI - Pág. 467.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configuração do crime contra a economia popular, imprescindível a comprovação do dolo no procedimento do agente. Desde que ausente o dolo, inexistente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2026-07-28T04:27:45.186Z</dcterms:created>
  <dcterms:modified xsi:type="dcterms:W3CDTF">2026-07-28T04:27:45.186Z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