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/>
    <w:p>
      <w:r>
        <w:t xml:space="preserve">OPINIÃO DESFAVORÁVEL DE CRÍTICA LITERÁRIA, ARTÍSTICA OU CIENTÍFICA — QUANDO CONFIGURA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não se cuidou de simples crítica literária, artística ou científica. - A intenção de injuriar, com a utilização de expressões como "arbitrário", "ridículo", "hipócrita" etc., dirigidas ao professor, mostrou-se inequívoca. - Com razão o sentenciante quando afirma, em sua decisão: "Conforme afirmaram em seus interrogatórios, secundados pelos depoimentos das testemunhas que arrolaram, teriam agido os Acusados com o objetivo único de tecer críticas ao método de ensino e avaliação empreendido pelo Docente na disciplina que então lecionava, direito penal. As ações adotadas, entretanto, a par de não se amoldarem àquela finalidade, revelam, extreme de dúvidas, intuito diverso, qual seja, o de atingir a honra subjetiva da vítima, maculando sua dignidade e seu decoro. Assim é que, após terem elaborado requerimentos de revisão das notas aplicadas pelo Professor Carmo Antônio, meio único e suficiente para atingir o propalado objetivo imediato (revisão das menções dadas) e mediato (apreciação crítica da metodologia de ensino e avaliação adotada) que supostamente possuíam, redigiram carta aberta, nela inserindo expressões que humilham, achincalham, ofendem e ridicularizam o Docente. Asserir que o mencionado Professor busca auto-afirmar-se, mediante uma cultura do medo, da intimidação, do autoritarismo e do reacionarismo, é o mesmo que tachá-lo de autoritário, reacionário e ignorante, pois de outro modo não teria a pretensa necessidade de auto-afirmação. Por outro lado, veicular tais ofensas em carta aberta, propiciando sua divulgação dentro e fora da Universidade, revela, inequivocamente, que o motor da conduta ora sob apreciação é diverso daquele s ustentado pelos Reús e atine, precisamente, à macula da honra subjetiva da vítima. Ora, se pretendiam os Réus tão-somente protagonizar crítica a métodos de ensino e avaliação levados a efeito pelo Ofendido, por que deixaram de esgotar todas as instâncias administrativas disponíveis para, a um só tempo, obterem a revisão das menções aplicadas e da metodologia adotada? Por que, ao invés, de redigiram carta aberta endereçada à Vítima, levando a conhecimento de terceiros estranhos à comunidade acadêmica referidos fatos e exprimindo juízos de valor supostamente depreciativos? Patente, em conseqüência, a prática do crime de injúria com as qualificadoras previstas no art. 141, II e III, visto como os achincalhes proferidos o foram em detrimento de funcionário público federal, precisamente em razão do exercício do magistério e utilizando-se de meio (carta aberta) adredemente escolhido para facilitar a divulgação da ofensa". - Com essas considerações, nego provimento ao recurso. - É o voto. Ac. de 15-04-1997 DJ de 04-09-1997 Arquivo do EMFOR, TRF/N 3.049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mera opinião desfavorável de crítica literária, artística ou científica a utilização de palavras ou expressões, com o intuito de atingir a honra subjetiva da vítima, denegrindo a sua dignidade e decoro.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2026-10-26T02:48:01.373Z</dcterms:created>
  <dcterms:modified xsi:type="dcterms:W3CDTF">2026-10-26T02:48:01.373Z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