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/>
    <w:p>
      <w:r>
        <w:t xml:space="preserve">PENDÊNCIA DE RECURSO EXTRAORDINÁRIO — SE DEPENDE DE CAUÇÃO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não discrepa desse entendimento: "Despejo - Ação Especial - Execução - Princípios próprios e adequados à sua natureza. Execução de sentença - Despejo - Pendência de recurso extraordinário - Caução - Desnecessidade. Dadas as peculiaridades da ação de despejo, a execução da respectiva sentença se submete a uma disciplina diferenciada e específica, com princípios próprios e adequados à sua natureza. O autor na ação de despejo não está obrigado a prestar caução para promover a execução provisória do despejo, por falta de previsão legal e também porque o próprio imóvel se constitui em garantia eficiente para eventualidade de danos" ("in" RT 141/194). Ac. de 03-10-1989 Jurisprudência Catarinense - 3º e 4º Trimestre de 1989 - Vol. 65 - Pág. 283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autor na ação de despejo não está obrigado a prestar caução para promover a execução provisória do despejo, por falta de previsão legal e também porque o próprio imóvel se constitui em garantia eficiente para eventual reparação de danos". ("in" RT 141/194).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2026-07-28T04:12:19.311Z</dcterms:created>
  <dcterms:modified xsi:type="dcterms:W3CDTF">2026-07-28T04:12:19.311Z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