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/>
    <w:p>
      <w:r>
        <w:t xml:space="preserve">PENDÊNCIA DE RECURSO EXTRAORDINÁRIO — SE DEPENDE DE CAUÇÃO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não discrepa desse entendimento: "Despejo - Ação Especial - Execução - Princípios próprios e adequados à sua natureza. Execução de sentença - Despejo - Pendência de recurso extraordinário - Caução - Desnecessidade. Dadas as peculiaridades da ação de despejo, a execução da respectiva sentença se submete a uma disciplina diferenciada e específica, com princípios próprios e adequados à sua natureza. O autor na ação de despejo não está obrigado a prestar caução para promover a execução provisória do despejo, por falta de previsão legal e também porque o próprio imóvel se constitui em garantia eficiente para eventualidade de danos" ("in" RT 141/194). Ac. de 03-10-1989 Jurisprudência Catarinense - 3º e 4º Trimestre de 1989 - Vol. 65 - Pág. 283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autor na ação de despejo não está obrigado a prestar caução para promover a execução provisória do despejo, por falta de previsão legal e também porque o próprio imóvel se constitui em garantia eficiente para eventual reparação de danos". ("in" RT 141/194).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2026-10-26T03:21:40.798Z</dcterms:created>
  <dcterms:modified xsi:type="dcterms:W3CDTF">2026-10-26T03:21:40.798Z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