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MINISTÉRIO PÚBLICO</w:t>
      </w:r>
    </w:p>
    <w:p/>
    <w:p/>
    <w:p>
      <w:r>
        <w:t xml:space="preserve">ATESTADO DE POBREZA — JUNTADA APÓS SEIS MESES DA REPRESENTAÇÃO -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Assim, é irrelevante que a certidão de nascimento da menor e a prova da miserabilidade tenham sido produzidas após decorrido o semestre decadencial. Este é exigência legal para o exercício do direito de representação, e não para a complementação ou realização de prova, ainda que da miserabilidade da ofendida. Contemporânea que seja a instauração da ação penal (RT 526/353), a referida condição pode ser comprovada até a sentença final (DAMÁSIO E. DE JESUS, "Código de Processo Penal Anotado", pág. 33, 8ª ed., 1990, Saraiva, São Paulo). Ac. de 29-08-1990 Revista dos Tribunais - Fev. de 1991 - Vol. 664 - Pág. 260 N. da R.: V. também o t. DECADÊNCIA, st. CRIME CONTRA OS COSTUMES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penal por crime contra os costumes não acarreta decadência a juntada do atestado de pobreza decorridos seis meses da representação seja feita no semestre decadencial e que na oportunidade de seu oferecimento seja a ofendida pobre, pouco importando que a prova dessa circunstância só mais tarde venha a ser feita já que pode ser produzida até a sentença final.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2026-07-27T22:46:32.742Z</dcterms:created>
  <dcterms:modified xsi:type="dcterms:W3CDTF">2026-07-27T22:46:32.742Z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