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CRIMES DE RESPONSABILIDADE</w:t>
      </w:r>
    </w:p>
    <w:p>
      <w:r>
        <w:rPr>
          <w:i/>
          <w:iCs/>
          <w:color w:val="666666"/>
        </w:rPr>
        <w:t xml:space="preserve">PROCESSO E JULGAMENTO</w:t>
      </w:r>
    </w:p>
    <w:p/>
    <w:p/>
    <w:p>
      <w:r>
        <w:t xml:space="preserve">SE RESPONDE PELO CRIME QUANDO DEIXA O CARGO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Argüiu, hoje, o ilustre defensor, da Tribuna, fazendo referência ao memorial representado, que tendo o denunciado deixado o cargo de Prefeito Municipal caberia a esta Egrégia Corte a concessão de "habeas corpus" de ofício, para o trancamento da ação penal. - Data venia, discordo de S. Exa. por entender que, se julgamos fatos praticados por alguém no exercício do cargo de Prefeito, não seria o seu simples afastamento que poderia levar ao arquivamento do processo, uma vez que tal instauração foi feita enquanto o denunciado ainda exercia o cargo de Prefeito. - Por tal motivo é que desprezo a preliminar argüida da Tribuna. Ac. de 28-03-1990 VENCIDOS OS DESEMBARGADORES SEBASTIÃO ROSENBURG E EDELBERTO SANTIAGO Jurisprudência Mineira - Abril/Junho de 1990 - Vol. 110 - Pág. 219 EMFOR 513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fato de o Prefeito Municipal deixar o cargo não impede que ele responda por crime de responsabilidade, se a instauração do processo foi feita enquanto exercia o seu mandato.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2026-07-28T02:27:47.591Z</dcterms:created>
  <dcterms:modified xsi:type="dcterms:W3CDTF">2026-07-28T02:27:47.591Z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