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CRIMES DE RESPONSABILIDADE</w:t>
      </w:r>
    </w:p>
    <w:p>
      <w:r>
        <w:rPr>
          <w:i/>
          <w:iCs/>
          <w:color w:val="666666"/>
        </w:rPr>
        <w:t xml:space="preserve">PROCESSO E JULGAMENTO</w:t>
      </w:r>
    </w:p>
    <w:p/>
    <w:p/>
    <w:p>
      <w:r>
        <w:t xml:space="preserve">SE RESPONDE PELO CRIME QUANDO DEIXA O CARGO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Argüiu, hoje, o ilustre defensor, da Tribuna, fazendo referência ao memorial representado, que tendo o denunciado deixado o cargo de Prefeito Municipal caberia a esta Egrégia Corte a concessão de "habeas corpus" de ofício, para o trancamento da ação penal. - Data venia, discordo de S. Exa. por entender que, se julgamos fatos praticados por alguém no exercício do cargo de Prefeito, não seria o seu simples afastamento que poderia levar ao arquivamento do processo, uma vez que tal instauração foi feita enquanto o denunciado ainda exercia o cargo de Prefeito. - Por tal motivo é que desprezo a preliminar argüida da Tribuna. Ac. de 28-03-1990 VENCIDOS OS DESEMBARGADORES SEBASTIÃO ROSENBURG E EDELBERTO SANTIAGO Jurisprudência Mineira - Abril/Junho de 1990 - Vol. 110 - Pág. 219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o Prefeito Municipal deixar o cargo não impede que ele responda por crime de responsabilidade, se a instauração do processo foi feita enquanto exercia o seu mandato.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2026-10-26T02:14:38.910Z</dcterms:created>
  <dcterms:modified xsi:type="dcterms:W3CDTF">2026-10-26T02:14:38.910Z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