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FALIMENTAR</w:t>
      </w:r>
    </w:p>
    <w:p>
      <w:r>
        <w:rPr>
          <w:i/>
          <w:iCs/>
          <w:color w:val="666666"/>
        </w:rPr>
        <w:t xml:space="preserve">DESPACHO DE RECEBIMENTO DA DENÚNCIA</w:t>
      </w:r>
    </w:p>
    <w:p/>
    <w:p/>
    <w:p>
      <w:r>
        <w:t xml:space="preserve">HIPÓTESE DE VÁRIAS INFRAÇÕES — COMO SE FIXA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as sanções impostas. 8 - É de se destacar que a r. sentença condenatória apelada impôs penas privativas de liberdade, reclusiva e detentiva, cumulativamente, não obedecendo ao princípio da unicidade dos crimes falimentares, o que é pacífico na doutrina e na jurisprudência (RT 728/532 de 06/96), devendo ser mantida apenas a pena mais grave. Ac. de 28-04-1997 EMFOR 566/744590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que sejam várias as infrações delituosas falimentares, a fixação da pena se determinará pelo evento de maior gravidade.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2026-10-26T04:20:35.142Z</dcterms:created>
  <dcterms:modified xsi:type="dcterms:W3CDTF">2026-10-26T04:20:35.143Z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