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FALIMENTAR</w:t>
      </w:r>
    </w:p>
    <w:p>
      <w:r>
        <w:rPr>
          <w:i/>
          <w:iCs/>
          <w:color w:val="666666"/>
        </w:rPr>
        <w:t xml:space="preserve">DESPACHO DE RECEBIMENTO DA DENÚNCIA</w:t>
      </w:r>
    </w:p>
    <w:p/>
    <w:p>
      <w:r>
        <w:rPr>
          <w:b/>
          <w:bCs/>
        </w:rPr>
        <w:t xml:space="preserve">Recurso: </w:t>
      </w:r>
      <w:r>
        <w:t xml:space="preserve">Recurso Especial 245-</w:t>
      </w:r>
    </w:p>
    <w:p/>
    <w:p>
      <w:r>
        <w:t xml:space="preserve">isprudência.  Janeiro, 1986 — Vol. 115 - Pág. 125
EMFOR 451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deste Superior Tribunal de Justiça, lavra do eminente Ministro JOSÉ DANTAS, traz a seguinte ementa: "Criminal. Falências. Exercício do Comércio. - Interdição. Sua cominação expressa como mero efeito da sentença - art. 195 da Lei de Falências; pelo que, subsiste vigente à norma extravagante, inalterada pela nova conceituação legal das antigas acessórias - Código Penal, arts. 32, II, 43 e seguintes e 92, na redação da Lei nº 7.209/84" (Recurso Especial nº 245-SP - DJ 11-9-89 - sic ...)". - Esta turma, pois, entende a interdição para o exercício de comércio como mero efeito da sentença e não como pena acessória, subsistindo, assim, no novo sistema penal brasileiro. Ac. de 24-10-1990 Rev. do Sup. Tribunal de Justiça - Março de 1991 - Nº 19 - Pág. 491. EMFOR 530 EMENTA: - Nos termos do art. 195 e 196 do Dec.-lei 7.661/45 é admissível, como efeito da condenação por crime falimentar, a decretação da interdição do exercício do comércio que terminará com a reabilitação criminal falimentar prevista no art. 197 da mesma norma. RESUMO DO ACÓRDÃO: - Como efeito da condenação, a interdição do exercício do comércio não poderia deixar de ser decretada, nos termos dos arts. 195 e 196 da LF, com a observação de que a fixação de prazo beneficiou realmente os acusados. O prazo deve terminar com a reabilitação criminal falimentar prevista no art. 197 da Lei de Falências. Ac. de 19-06-1997 Revista dos Tribunais, novembro de 1997 - vol 745 - pág. 562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interdição para o exercício do comércio opera ex vi legis (art. 195 da Lei de Falência) e até mesmo independentemente de menção expressa, decorrente que é da eficácia mesma da sentença.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2026-10-26T02:42:34.046Z</dcterms:created>
  <dcterms:modified xsi:type="dcterms:W3CDTF">2026-10-26T02:42:34.046Z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