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COMPETÊNCIA POR PREVENÇÃO</w:t>
      </w:r>
    </w:p>
    <w:p/>
    <w:p/>
    <w:p>
      <w:r>
        <w:t xml:space="preserve">INTIMAÇÃO ANTES DO ACUSADO — INTERPOSIÇÃO DO APELO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Sendo o Réu revel, e, tratando-se de defesa dativa, a intimação da sentença condenatória deveria ter sido efetivada de acordo com o disposto no art. 392, VI, § 1º, do Código de Processo Penal. Entretanto, sem que o Réu fosse procurado, para ser intimado pessoalmente da r. decisão, procedeu-se à sua intimação via edital, satisfazendo-se, desse modo, a exigência legal. - Antes mesmo da intimação do Réu, sua defensora dativa interpôs o presente recurso, agindo, assim, antecipadamente. É de reconhecer-se, assim mesmo, a tempestividade da medida ajuizada, des que se trata , no concreto, da chamada apelação prematura. Ac. de 06-10-1988 Arquivo do EMFOR - TJ/1.695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defensor dativo é intimado da sentença condenatória antes do acusado, convém que, desde logo, interponha o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2026-07-28T00:12:30.170Z</dcterms:created>
  <dcterms:modified xsi:type="dcterms:W3CDTF">2026-07-28T00:12:30.170Z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