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EXCEÇÃO DE INCOMPETÊNCIA</w:t>
      </w:r>
    </w:p>
    <w:p>
      <w:r>
        <w:rPr>
          <w:i/>
          <w:iCs/>
          <w:color w:val="666666"/>
        </w:rPr>
        <w:t xml:space="preserve">DESPACHO QUE A REJEITA</w:t>
      </w:r>
    </w:p>
    <w:p/>
    <w:p>
      <w:r>
        <w:rPr>
          <w:b/>
          <w:bCs/>
        </w:rPr>
        <w:t xml:space="preserve">Recurso: </w:t>
      </w:r>
      <w:r>
        <w:t xml:space="preserve">REsp 8.584-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NÃO RECOLHIMENTO DO ICMS — FATO TÍPICO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pacientes, na qualidade de diretores e administradores da empresa "Cristais Hering S/A" (Capítulo III, art. 6º, dos Estatutos Sociais, à fl. 45), teriam deixado de recolher, no período de dezembro/92 a dezembro/93, importâncias correspondentes ao ICMS, em quantia próxima a um milhão e meio de reais. - Em razão desse fato, foram denunciados na 1ª Vara da Comarca de Blumenau (SC), enquadrando-os o Ministério Público Estadual, no art. 2º, inc. II, da Lei nº 8.137/90. - Não se vislumbra, como alegado, a inépcia da peça acusatória, se traz todos os detalhes reclamados na legislação processual penal, indicando o fato delituoso e apontando os seus prováveis autores, fulcrada em indícios suficientes quanto a isso. - A falta de repasse do ICMS, descontado do consumidor, é, em tese, conduta criminosa, consoante já decidido por esta Corte, no REsp nº 8.584-SP, Rel. o eminente Min. Garcia Vieira, Primeira Turma, DJU de 13.05.91, p. 6.071, cuja ementa apregoa: "Infringe a lei tributária quem, sujeito ao pagamento do tributo, não o satisfaz no tempo, forma e lugar determinado. O não recolhimento de ICM declarado, que integrou o preço da mercadoria vendida, se não recolhido aos cofres públicos, tipifica figura penal." Ac. de 16-04-1998 DJ de 18-05-1998 (Registro nº 98.0009231-5) STJ - 10 ANOS A SERVIÇO DA JUSTIÇA - vol. 5, pág. 136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Narrando a denúncia, com suficiência de detalhes, um fato que se enquadra em norma penal vigente, com claros indícios de autoria, não há como classificá-la de inepta.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2026-07-28T02:14:50.736Z</dcterms:created>
  <dcterms:modified xsi:type="dcterms:W3CDTF">2026-07-28T02:14:50.736Z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