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EXCEÇÃO DE INCOMPETÊNCIA</w:t>
      </w:r>
    </w:p>
    <w:p>
      <w:r>
        <w:rPr>
          <w:i/>
          <w:iCs/>
          <w:color w:val="666666"/>
        </w:rPr>
        <w:t xml:space="preserve">DESPACHO QUE A REJEITA</w:t>
      </w:r>
    </w:p>
    <w:p/>
    <w:p>
      <w:r>
        <w:rPr>
          <w:b/>
          <w:bCs/>
        </w:rPr>
        <w:t xml:space="preserve">Julgado em: </w:t>
      </w:r>
      <w:r>
        <w:t xml:space="preserve">15/12/1997</w:t>
      </w:r>
    </w:p>
    <w:p/>
    <w:p>
      <w:r>
        <w:t xml:space="preserve">DESPACHO NÃO FUNDAMENTADO — IRRELEVÂNCIA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Quanto à ausência de fundamentação do despacho que recebeu a denúncia, torna-se irrelevante a invocação da norma contida no art. 93, IX, da Carta Magna, uma vez que, como bem frisado pela douta Subprocuradoria Geral da República, em seu d. parecer, não é necessário que o juiz fundamente o despacho de recebimento da denúncia, consoante anuncia o Pretório Excelso que "o despacho que recebe a denúncia ou queixa, embora tenha também conteúdo decisório, não se encarta no conceito de decisão, como previsto no art. 93, IX, da Constituição, não sendo exigida a sua fundamentação (art. 394 do CPP); a fundamentação é exigida, apenas, quando o juiz rejeita a denúncia ou a queixa (art. 516 do CPP). Precedentes" (HC 72.286-5/PR, "in" DJ de 16.02.96, p. 2.998). Julgado em 16-12-1997 Revista de Direito - Tr. Just. do Estado do Rio de Janeiro - vol. 36 - 1998 - pág. 127 EMENTÁRIO FORENSE. Janeiro, 1999. Ano LI. Nº 602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 despacho de recebimento da denúncia ou da queixa, embora se revista de conteúdo decisório, é desnecessária a observância do disposto no art. 93, IX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2026-10-26T06:01:31.166Z</dcterms:created>
  <dcterms:modified xsi:type="dcterms:W3CDTF">2026-10-26T06:01:31.166Z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