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DESCLASSIFICAÇÃO DE DELITO</w:t>
      </w:r>
    </w:p>
    <w:p>
      <w:r>
        <w:rPr>
          <w:i/>
          <w:iCs/>
          <w:color w:val="666666"/>
        </w:rPr>
        <w:t xml:space="preserve">NOVA DEFINIÇÃO JURÍDICA DO FATO</w:t>
      </w:r>
    </w:p>
    <w:p/>
    <w:p>
      <w:r>
        <w:rPr>
          <w:b/>
          <w:bCs/>
        </w:rPr>
        <w:t xml:space="preserve">Recurso: </w:t>
      </w:r>
      <w:r>
        <w:t xml:space="preserve">ap 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DELITO PRÓPRIO DE PARTICULAR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jurisprudência deste Egrégio Tribunal, aliás, avalizada também pelo Supremo Tribunal Federal, é no sentido unânime dos comentadores de que o art. 329 do Código Penal - crime de desobediência - só pode ser praticado por funcionário público, e quando exerce as suas funções. - Evidente, delito praticado por particular contra administração pública, jamais quando a conduta é do funcionário público no exercício das suas funções. No caso concreto é imputado ao paciente comportamento omissivo; deixara de prestar informações. - Data venia, a figura é atípica relativamente àquela infração. Em tese, só poderia ser caracterizada a figura da prevaricação. Todavia, necessário se faz que existisse imputação de que a omissão visaria a satisfazer interesse pessoal. Assim sendo, e relembrando que, tanto o Supremo Tribunal Federal, como o STJ, nos famosos casos do bloqueio da poupança, sempre concederam o habeas corpus em favor de administradores, tanto do Banco Central, como de estabelecimentos comerciais, quando o tema foi exaustivamente tratado. - Assim sendo, data venia, concedo o habeas corpus a fim de, nos termos postos nos autos, ser trancado o inquérito, nada impedindo, uma vez caracterizado, também, o elemento normativo do crime de prevaricação, ser feita a investigação policial. Ac. de 29-06-1994 Arquivo do EMFOR, STJ/N 2.686 EMENTÁRIO FORENSE. Janeiro, 2000. Ano LII. Nº 614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Código Penal distingue (título XI) crimes funcionais e crimes comuns. Evidente, quando o funcionário público (CP, art. 327) pratica ato de ofício, não comete delito próprio de particular. - Assim, inviável a infração penal - desobediência (CP, art. 330 - Crime Praticado por Particular contra a Administração Pública, Título XI, cap. II). Em tese, admitir-se-á - prevaricação (CP, art. 309). Urge, no entanto, a denúncia descrever elementos constitutivos dessa infração penal.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2026-10-26T04:55:04.554Z</dcterms:created>
  <dcterms:modified xsi:type="dcterms:W3CDTF">2026-10-26T04:55:04.554Z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