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/>
    <w:p>
      <w:r>
        <w:t xml:space="preserve">CONVERSÃO DE ACADEMIA DE GINÁSTICA EM TERMAS, MASSAGENS, "SHOWS" E "STREAPTEASES"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recorrida não merece reparos ao julgar procedente a ação por infração contratual estribada nos arts. 10 e 19 da lei nº 6.649/79 combinado com o art. 52, II, por haver a locatária , dado destinação diversa ao imóvel locado, utilizando-o como termas de outra razão social ou seja, por cessão da locação inconsentida às "Termas M.G. Ltda., exercendo atividades tidas como ilícitas, como a denuncia na publicação de fls. (Termas 28 com 40 lindas recepcionistas, com show de "streap-tease", música ao vivo, bar e boate, sauna seca e a vapor, funcionando de 2ª a 6ª das 13:00 às 24:00 horas) e cuja sauna vem causando danos ao consultório médico no 2º pavimento, apelado, locador. E assim infringindo as cláusulas 4ª, 5ª e 6ª do contrato de locação. Ac. de 13-10-1987 Arquivo do EMFOR, TA/880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infração legal e contratual a conversão de academia de ginástica em centro de termas e massagens, com "shows" e "streap-tease".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2026-10-26T02:35:48.465Z</dcterms:created>
  <dcterms:modified xsi:type="dcterms:W3CDTF">2026-10-26T02:35:48.465Z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