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/>
    <w:p>
      <w:r>
        <w:t xml:space="preserve">CRIME FORMAL — RESPONSABILIDADE DE QUEM ASSINA 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E. Corte se mostra rigorosa no julgamento do delito descrito no preceito primário do art. 172 do CP. Assim, p. ex.: «Aquele que assina duplicata tem o dever de verificar, previamente, se sua emissão corresponde a um negócio efetivo e real, pois, em caso contrário, estará assumindo o risco do resultado lesivo» (JTACrimSP 15/258). - Ou: «A alegação de equívoco não convence, seja porque não se pode receber aquilo a que não se tem direito, seja porque, se fosse mero engano, como insinua, o apelante teria restituído o dinheiro recebido indevidamente, ou, quando nada, tentado fazê-lo. Não agindo assim mostrou dolo, sendo correta sua condenação» (JTACrimSP 78/237). - O delito se consuma com a expedição do título ou seu aceite. É crime formal JTACrimSP...47/349). Ac. de 19-12-1987 Revista dos Tribunais - Fev/88 - Vol. 628 - Pág. 327.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do art. 172 do CP é crime formal, consumando-se com a expedição do título ou seu aceite, pois aquele que assina a duplicata tem o dever de verificar previamente se sua emissão corresponde a um negócio efetivo e real, pois, do contrário, estará assumindo o risco do resultado lesivo. - Irrelevante a assinatura do título por estampa se posteriormente avalizado pelo emitente, para desconto em banco. o que denota a autorização para a emissão, tanto mais tratando-se de negócio de grande vulto. - Descontado o título na rede bancária, o posterior pedido de desistência da abertura de inquérito formulado pela firma vítima, em virtude de acordo das partes não afasta 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2026-07-28T02:50:54.211Z</dcterms:created>
  <dcterms:modified xsi:type="dcterms:W3CDTF">2026-07-28T02:50:54.211Z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