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/>
    <w:p>
      <w:r>
        <w:t xml:space="preserve">PAGAMENTO ANTES DA DENÚNCIA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Ambos os pronunciamentos trazem com fidelidade os fatos da causa. Embora incoincidentes no seu arrazoado, um e outros conduzem à concessão da ordem. Vale consignar que a tese do Sub-procurador-Geral já foi sufragada na Primeira Turma (RHC 64.272, relatado pelo Ministro RAFAEL MAYER em 14-10-86). - Assim, seguro que houve o pagamento do cheque devolvido antes da denúncia, e não tendo havido fraude na espécie, provejo o recurso ordinário para absolver o réu da imputação que originou o processo principal, por atipicidade de conduta, determinando a baixa do nome do réu do rol dos culpados e o arquivamento do feito. Ac. de 18-11-1986 Revista Trimestral de Jurisprudência, Vol. 120, Pág. 653( Maio/87)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Fica descaracterizado o crime do art. 171 - VI do Código Penal se o cheque sem fundos é pago antes da denúncia, desde que não tenha havido fraude na operação.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2026-07-28T02:21:30.582Z</dcterms:created>
  <dcterms:modified xsi:type="dcterms:W3CDTF">2026-07-28T02:21:30.582Z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