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29/09/1986</w:t>
      </w:r>
    </w:p>
    <w:p/>
    <w:p>
      <w:r>
        <w:t xml:space="preserve">EMISSÃO POR DIRETOR DE SOCIEDADE ANÔNIMA — VALOR HABILITADO NA FALÊNCIA DESTA - SE ELIDE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STF assentou que o pagamento do cheque emitido sem previsão de fundos antes do recebimento da denúncia extingue a punibilidade (RTJ 75/732 e 77/648). - Recebida, porém, a denúncia, não há como afastar o estelionato, pois caracterizada fica desde logo, a lesão ao patrimônio do credor (RTJ 80/23). - O caso presente, entretanto, tem algumas peculiaridades. - O cheque foi emitido pelo recorrente na qualidade de diretor da Fábrica de Roupas Epson S/A. - Não tendo sido honrado, foi protocolado, figurando como emitente a firma, e não o recorrente. - Posteriormente, o crédito relativo ao cheque sem provisão de fundos foi habilitado, pela credora, na falência da firma. - O recorrente alegou tais circunstâncias na impetração, acrescentando que se quer foi intimado no inquérito policial, não tendo oportunidade de saldar o cheque para elidir a denúncia. - A E, 2ª Câmara do II TARJ desprezou as alegações do impetrante, entendendo que o fato de o lesado ter habilitado seu crédito na falência da empresa não elide a responsabilidade criminal de quem por ela emitiu cheque sem fundos, nem é relevante não ter sido ele chamado no inquérito policial, pois comprovada ficou a lesão ao credor pelo protesto do cheque, havendo indícios da autoria. - Por outro lado, o cheque foi protestado em 12-04-77, havendo prova da data em que foi decretada a falência. - No recurso, não cuidou o paciente de esclarecer se o cheque emitido em 28-08-77, foi protestado antes ou depois da falência da firma de que era diretor. - A proximidade da data da emissão, da do protesto milita em seu desfavor. - De qualquer forma, a pretensão de devolução do prazo para pagamento do valor do cheque já não é mais possível uma vez recebida a denúncia. - Acresce, ainda, que, estando habilitado o crédito correspondente ao cheque na falência, o pagamento só é possível dentro do processo concursal, o que afasta aquela pretensão. - Não se figurando, assim, o alegado constrangimento ilegal, nego provimento ao recurso. Julgado em 30-09-1986 Revista dos Tribunais. Vol. 614 - Pág. 379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Emitido o cheque sem fundo por diretor de sociedade anônima falida, a responsabilidade deste não é elidida pelo fato de ter sido o valor do cheque habilitado na falência.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2026-10-26T02:35:15.718Z</dcterms:created>
  <dcterms:modified xsi:type="dcterms:W3CDTF">2026-10-26T02:35:15.718Z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